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B1AEA5">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池州职业技术学院图书馆火灾自动报警系统</w:t>
      </w:r>
    </w:p>
    <w:p w14:paraId="749C619E">
      <w:pPr>
        <w:jc w:val="center"/>
        <w:rPr>
          <w:rFonts w:hint="default" w:ascii="宋体" w:hAnsi="宋体" w:eastAsia="宋体" w:cs="宋体"/>
          <w:b/>
          <w:bCs/>
          <w:sz w:val="44"/>
          <w:szCs w:val="44"/>
          <w:lang w:val="en-US" w:eastAsia="zh-CN"/>
        </w:rPr>
      </w:pPr>
      <w:r>
        <w:rPr>
          <w:rFonts w:hint="eastAsia" w:ascii="宋体" w:hAnsi="宋体" w:eastAsia="宋体" w:cs="宋体"/>
          <w:b/>
          <w:bCs/>
          <w:sz w:val="44"/>
          <w:szCs w:val="44"/>
          <w:lang w:val="en-US" w:eastAsia="zh-CN"/>
        </w:rPr>
        <w:t>采购安装项目需求书</w:t>
      </w:r>
    </w:p>
    <w:p w14:paraId="49436890">
      <w:pPr>
        <w:rPr>
          <w:rFonts w:hint="eastAsia" w:ascii="黑体" w:hAnsi="黑体" w:eastAsia="黑体" w:cs="黑体"/>
          <w:sz w:val="28"/>
          <w:szCs w:val="28"/>
        </w:rPr>
      </w:pPr>
    </w:p>
    <w:p w14:paraId="0EC370CA">
      <w:pPr>
        <w:spacing w:line="480" w:lineRule="exact"/>
        <w:ind w:right="-134" w:rightChars="-64" w:firstLine="600" w:firstLineChars="200"/>
        <w:jc w:val="both"/>
        <w:rPr>
          <w:rFonts w:hint="default" w:asciiTheme="minorEastAsia" w:hAnsiTheme="minorEastAsia" w:eastAsiaTheme="minorEastAsia" w:cstheme="minorEastAsia"/>
          <w:b w:val="0"/>
          <w:bCs w:val="0"/>
          <w:sz w:val="30"/>
          <w:szCs w:val="30"/>
          <w:lang w:val="en-US" w:eastAsia="zh-CN"/>
        </w:rPr>
      </w:pPr>
      <w:r>
        <w:rPr>
          <w:rFonts w:hint="eastAsia" w:ascii="黑体" w:hAnsi="黑体" w:eastAsia="黑体" w:cs="黑体"/>
          <w:sz w:val="30"/>
          <w:szCs w:val="30"/>
          <w:lang w:val="en-US" w:eastAsia="zh-CN"/>
        </w:rPr>
        <w:t>一、项目名称：</w:t>
      </w:r>
      <w:r>
        <w:rPr>
          <w:rFonts w:hint="eastAsia" w:asciiTheme="minorEastAsia" w:hAnsiTheme="minorEastAsia" w:eastAsiaTheme="minorEastAsia" w:cstheme="minorEastAsia"/>
          <w:b w:val="0"/>
          <w:bCs w:val="0"/>
          <w:sz w:val="30"/>
          <w:szCs w:val="30"/>
          <w:lang w:val="en-US" w:eastAsia="zh-CN"/>
        </w:rPr>
        <w:t>池州职业技术学院图书馆火灾自动报警系统采购安装项目</w:t>
      </w:r>
    </w:p>
    <w:p w14:paraId="08CFAB65">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default" w:asciiTheme="minorEastAsia" w:hAnsiTheme="minorEastAsia" w:eastAsiaTheme="minorEastAsia" w:cstheme="minorEastAsia"/>
          <w:b w:val="0"/>
          <w:bCs w:val="0"/>
          <w:sz w:val="30"/>
          <w:szCs w:val="30"/>
          <w:highlight w:val="yellow"/>
          <w:lang w:val="en-US" w:eastAsia="zh-CN"/>
        </w:rPr>
      </w:pPr>
      <w:r>
        <w:rPr>
          <w:rFonts w:hint="eastAsia" w:ascii="黑体" w:hAnsi="黑体" w:eastAsia="黑体" w:cs="黑体"/>
          <w:sz w:val="30"/>
          <w:szCs w:val="30"/>
        </w:rPr>
        <w:t>二、项目编号：</w:t>
      </w:r>
      <w:r>
        <w:rPr>
          <w:rFonts w:hint="eastAsia" w:asciiTheme="minorEastAsia" w:hAnsiTheme="minorEastAsia" w:eastAsiaTheme="minorEastAsia" w:cstheme="minorEastAsia"/>
          <w:b w:val="0"/>
          <w:bCs w:val="0"/>
          <w:sz w:val="30"/>
          <w:szCs w:val="30"/>
          <w:lang w:val="en-US" w:eastAsia="zh-CN"/>
        </w:rPr>
        <w:t>CZZYZB2025011</w:t>
      </w:r>
    </w:p>
    <w:p w14:paraId="561C75D7">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黑体" w:hAnsi="黑体" w:eastAsia="黑体" w:cs="黑体"/>
          <w:sz w:val="30"/>
          <w:szCs w:val="30"/>
          <w:lang w:val="en-US" w:eastAsia="zh-CN"/>
        </w:rPr>
        <w:t>三、项目地点：</w:t>
      </w:r>
      <w:r>
        <w:rPr>
          <w:rFonts w:hint="eastAsia" w:asciiTheme="minorEastAsia" w:hAnsiTheme="minorEastAsia" w:eastAsiaTheme="minorEastAsia" w:cstheme="minorEastAsia"/>
          <w:b w:val="0"/>
          <w:bCs w:val="0"/>
          <w:sz w:val="30"/>
          <w:szCs w:val="30"/>
          <w:lang w:val="en-US" w:eastAsia="zh-CN"/>
        </w:rPr>
        <w:t>池州职业技术学院（贵池区建设西路389号）</w:t>
      </w:r>
    </w:p>
    <w:p w14:paraId="03873B76">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四、项目内容：</w:t>
      </w:r>
    </w:p>
    <w:p w14:paraId="313E61AF">
      <w:pPr>
        <w:spacing w:line="440" w:lineRule="exact"/>
        <w:ind w:firstLine="600" w:firstLineChars="200"/>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为筑牢校园安全防线，增强消防应急处置能力，保障师生日常教学生活，需对学院图书馆加装1套火灾自动报警系统。采购设备包括火灾报警控制器/消防联动控制器、无线点型光电感烟火灾探测器、无线火灾声光警报器、无线手动火灾报警按钮、无线中继器、消防广播扬声器、壁挂消防应急广播主机、电源控制柜等，以及设备的安装调试。</w:t>
      </w:r>
    </w:p>
    <w:p w14:paraId="4826EC09">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default" w:ascii="黑体" w:hAnsi="黑体" w:eastAsia="宋体" w:cs="黑体"/>
          <w:sz w:val="30"/>
          <w:szCs w:val="30"/>
          <w:lang w:val="en-US" w:eastAsia="zh-CN"/>
        </w:rPr>
      </w:pPr>
      <w:r>
        <w:rPr>
          <w:rFonts w:hint="eastAsia" w:ascii="黑体" w:hAnsi="黑体" w:eastAsia="黑体" w:cs="黑体"/>
          <w:sz w:val="30"/>
          <w:szCs w:val="30"/>
          <w:lang w:val="en-US" w:eastAsia="zh-CN"/>
        </w:rPr>
        <w:t>五、项目预算：</w:t>
      </w:r>
      <w:r>
        <w:rPr>
          <w:rFonts w:hint="eastAsia" w:ascii="宋体" w:hAnsi="宋体" w:cs="宋体"/>
          <w:sz w:val="30"/>
          <w:szCs w:val="30"/>
          <w:lang w:val="en-US" w:eastAsia="zh-CN"/>
        </w:rPr>
        <w:t>82000.00</w:t>
      </w:r>
      <w:r>
        <w:rPr>
          <w:rFonts w:hint="eastAsia" w:ascii="宋体" w:hAnsi="宋体" w:cs="宋体"/>
          <w:sz w:val="30"/>
          <w:szCs w:val="30"/>
        </w:rPr>
        <w:t>元</w:t>
      </w:r>
      <w:r>
        <w:rPr>
          <w:rFonts w:hint="eastAsia" w:ascii="宋体" w:hAnsi="宋体" w:cs="宋体"/>
          <w:sz w:val="30"/>
          <w:szCs w:val="30"/>
          <w:lang w:eastAsia="zh-CN"/>
        </w:rPr>
        <w:t>，</w:t>
      </w:r>
      <w:r>
        <w:rPr>
          <w:rFonts w:hint="eastAsia" w:ascii="宋体" w:hAnsi="宋体" w:cs="宋体"/>
          <w:sz w:val="30"/>
          <w:szCs w:val="30"/>
          <w:lang w:val="en-US" w:eastAsia="zh-CN"/>
        </w:rPr>
        <w:t>超过预算金额视为无效投标。</w:t>
      </w:r>
    </w:p>
    <w:p w14:paraId="1CD6592B">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六、投标人资格条件</w:t>
      </w:r>
    </w:p>
    <w:p w14:paraId="53EBE883">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1.投标人应是在中华人民共和国境内合法注册的、具备本项目服务能力的独立主体。</w:t>
      </w:r>
    </w:p>
    <w:p w14:paraId="583F73F2">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2.有固定的经营地点，拥有良好的信誉、经营业绩和售后服务。</w:t>
      </w:r>
    </w:p>
    <w:p w14:paraId="39E19406">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eastAsia" w:ascii="黑体" w:hAnsi="黑体" w:eastAsia="黑体" w:cs="黑体"/>
          <w:sz w:val="30"/>
          <w:szCs w:val="30"/>
        </w:rPr>
      </w:pPr>
      <w:r>
        <w:rPr>
          <w:rFonts w:hint="eastAsia" w:asciiTheme="minorEastAsia" w:hAnsiTheme="minorEastAsia" w:eastAsiaTheme="minorEastAsia" w:cstheme="minorEastAsia"/>
          <w:b w:val="0"/>
          <w:bCs w:val="0"/>
          <w:sz w:val="30"/>
          <w:szCs w:val="30"/>
          <w:lang w:val="en-US" w:eastAsia="zh-CN"/>
        </w:rPr>
        <w:t>3.近三年内无重大质量投诉事故、不良记录、经济纠纷及安全责任事故（提供信用中国查询结果截图）。</w:t>
      </w:r>
    </w:p>
    <w:p w14:paraId="4D05AFA8">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4.本项目不接受联合体投标，不允许分包。</w:t>
      </w:r>
    </w:p>
    <w:p w14:paraId="56542C48">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default" w:asciiTheme="minorEastAsia" w:hAnsiTheme="minorEastAsia" w:eastAsiaTheme="minorEastAsia" w:cstheme="minorEastAsia"/>
          <w:b w:val="0"/>
          <w:bCs w:val="0"/>
          <w:sz w:val="30"/>
          <w:szCs w:val="30"/>
          <w:lang w:val="en-US" w:eastAsia="zh-CN"/>
        </w:rPr>
      </w:pPr>
      <w:r>
        <w:rPr>
          <w:rFonts w:hint="eastAsia" w:ascii="黑体" w:hAnsi="黑体" w:eastAsia="黑体" w:cs="黑体"/>
          <w:sz w:val="30"/>
          <w:szCs w:val="30"/>
          <w:lang w:val="en-US" w:eastAsia="zh-CN"/>
        </w:rPr>
        <w:t>七、采购清单</w:t>
      </w:r>
    </w:p>
    <w:tbl>
      <w:tblPr>
        <w:tblStyle w:val="7"/>
        <w:tblW w:w="89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2787"/>
        <w:gridCol w:w="3763"/>
        <w:gridCol w:w="787"/>
        <w:gridCol w:w="788"/>
      </w:tblGrid>
      <w:tr w14:paraId="6D01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31" w:type="dxa"/>
            <w:shd w:val="clear" w:color="000000" w:fill="FFFFFF"/>
            <w:noWrap/>
            <w:vAlign w:val="center"/>
          </w:tcPr>
          <w:p w14:paraId="7F050FE8">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序号</w:t>
            </w:r>
          </w:p>
        </w:tc>
        <w:tc>
          <w:tcPr>
            <w:tcW w:w="2787" w:type="dxa"/>
            <w:shd w:val="clear" w:color="000000" w:fill="FFFFFF"/>
            <w:noWrap/>
            <w:vAlign w:val="center"/>
          </w:tcPr>
          <w:p w14:paraId="004032EB">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设备名称</w:t>
            </w:r>
          </w:p>
        </w:tc>
        <w:tc>
          <w:tcPr>
            <w:tcW w:w="3763" w:type="dxa"/>
            <w:shd w:val="clear" w:color="000000" w:fill="FFFFFF"/>
            <w:noWrap/>
            <w:vAlign w:val="center"/>
          </w:tcPr>
          <w:p w14:paraId="3124C4D8">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default"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参数要求</w:t>
            </w:r>
          </w:p>
        </w:tc>
        <w:tc>
          <w:tcPr>
            <w:tcW w:w="787" w:type="dxa"/>
            <w:shd w:val="clear" w:color="000000" w:fill="FFFFFF"/>
            <w:noWrap/>
            <w:vAlign w:val="center"/>
          </w:tcPr>
          <w:p w14:paraId="7BF92DA4">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数量</w:t>
            </w:r>
          </w:p>
        </w:tc>
        <w:tc>
          <w:tcPr>
            <w:tcW w:w="788" w:type="dxa"/>
            <w:shd w:val="clear" w:color="000000" w:fill="FFFFFF"/>
            <w:noWrap/>
            <w:vAlign w:val="center"/>
          </w:tcPr>
          <w:p w14:paraId="2158F6D3">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单位</w:t>
            </w:r>
          </w:p>
        </w:tc>
      </w:tr>
      <w:tr w14:paraId="3BE2E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831" w:type="dxa"/>
            <w:shd w:val="clear" w:color="auto" w:fill="auto"/>
            <w:vAlign w:val="center"/>
          </w:tcPr>
          <w:p w14:paraId="758C6B1F">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2787" w:type="dxa"/>
            <w:shd w:val="clear" w:color="auto" w:fill="auto"/>
            <w:vAlign w:val="center"/>
          </w:tcPr>
          <w:p w14:paraId="26F68092">
            <w:pP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火灾报警控制器/消防联动控制器</w:t>
            </w:r>
          </w:p>
        </w:tc>
        <w:tc>
          <w:tcPr>
            <w:tcW w:w="3763" w:type="dxa"/>
            <w:shd w:val="clear" w:color="auto" w:fill="auto"/>
            <w:vAlign w:val="center"/>
          </w:tcPr>
          <w:p w14:paraId="6D02123C">
            <w:pPr>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壁挂式，大于4寸触摸屏，自带无线中继器，最大通信距离1000m；</w:t>
            </w:r>
          </w:p>
          <w:p w14:paraId="36331442">
            <w:pPr>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主电:AC 220V/50Hz 或DC24V</w:t>
            </w:r>
          </w:p>
          <w:p w14:paraId="65ED4BC6">
            <w:pPr>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备电:DC24V免维护蓄电池BAT12V/5Ah；必须取得强制性产品认证证书（3C 认证）</w:t>
            </w:r>
          </w:p>
        </w:tc>
        <w:tc>
          <w:tcPr>
            <w:tcW w:w="787" w:type="dxa"/>
            <w:shd w:val="clear" w:color="auto" w:fill="auto"/>
            <w:vAlign w:val="center"/>
          </w:tcPr>
          <w:p w14:paraId="2EACC6DD">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788" w:type="dxa"/>
            <w:shd w:val="clear" w:color="auto" w:fill="auto"/>
            <w:vAlign w:val="center"/>
          </w:tcPr>
          <w:p w14:paraId="3555E946">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台</w:t>
            </w:r>
          </w:p>
        </w:tc>
      </w:tr>
      <w:tr w14:paraId="3C92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831" w:type="dxa"/>
            <w:shd w:val="clear" w:color="auto" w:fill="auto"/>
            <w:vAlign w:val="center"/>
          </w:tcPr>
          <w:p w14:paraId="0A993B69">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c>
          <w:tcPr>
            <w:tcW w:w="2787" w:type="dxa"/>
            <w:shd w:val="clear" w:color="auto" w:fill="auto"/>
            <w:vAlign w:val="center"/>
          </w:tcPr>
          <w:p w14:paraId="3388E2BE">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无线点型光电感烟火灾探测器</w:t>
            </w:r>
          </w:p>
        </w:tc>
        <w:tc>
          <w:tcPr>
            <w:tcW w:w="3763" w:type="dxa"/>
            <w:shd w:val="clear" w:color="auto" w:fill="auto"/>
            <w:vAlign w:val="center"/>
          </w:tcPr>
          <w:p w14:paraId="28BA5791">
            <w:pPr>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DC3V，监视平均电流&lt;10μA，LoRa通讯，蜂鸣型</w:t>
            </w:r>
          </w:p>
        </w:tc>
        <w:tc>
          <w:tcPr>
            <w:tcW w:w="787" w:type="dxa"/>
            <w:shd w:val="clear" w:color="auto" w:fill="auto"/>
            <w:vAlign w:val="center"/>
          </w:tcPr>
          <w:p w14:paraId="3D687AB3">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256</w:t>
            </w:r>
          </w:p>
        </w:tc>
        <w:tc>
          <w:tcPr>
            <w:tcW w:w="788" w:type="dxa"/>
            <w:shd w:val="clear" w:color="auto" w:fill="auto"/>
            <w:vAlign w:val="center"/>
          </w:tcPr>
          <w:p w14:paraId="6C3807DB">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只</w:t>
            </w:r>
          </w:p>
        </w:tc>
      </w:tr>
      <w:tr w14:paraId="3F542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31" w:type="dxa"/>
            <w:shd w:val="clear" w:color="auto" w:fill="auto"/>
            <w:vAlign w:val="center"/>
          </w:tcPr>
          <w:p w14:paraId="53993235">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p>
        </w:tc>
        <w:tc>
          <w:tcPr>
            <w:tcW w:w="2787" w:type="dxa"/>
            <w:shd w:val="clear" w:color="auto" w:fill="auto"/>
            <w:vAlign w:val="center"/>
          </w:tcPr>
          <w:p w14:paraId="3727FE03">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无线火灾声光警报器</w:t>
            </w:r>
          </w:p>
        </w:tc>
        <w:tc>
          <w:tcPr>
            <w:tcW w:w="3763" w:type="dxa"/>
            <w:shd w:val="clear" w:color="auto" w:fill="auto"/>
            <w:vAlign w:val="center"/>
          </w:tcPr>
          <w:p w14:paraId="44156916">
            <w:pPr>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DC3V，LoRa通讯</w:t>
            </w:r>
          </w:p>
        </w:tc>
        <w:tc>
          <w:tcPr>
            <w:tcW w:w="787" w:type="dxa"/>
            <w:shd w:val="clear" w:color="auto" w:fill="auto"/>
            <w:vAlign w:val="center"/>
          </w:tcPr>
          <w:p w14:paraId="3BC9EDB5">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p>
        </w:tc>
        <w:tc>
          <w:tcPr>
            <w:tcW w:w="788" w:type="dxa"/>
            <w:shd w:val="clear" w:color="auto" w:fill="auto"/>
            <w:vAlign w:val="center"/>
          </w:tcPr>
          <w:p w14:paraId="4CB10D33">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只</w:t>
            </w:r>
          </w:p>
        </w:tc>
      </w:tr>
      <w:tr w14:paraId="57F8F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31" w:type="dxa"/>
            <w:shd w:val="clear" w:color="auto" w:fill="auto"/>
            <w:vAlign w:val="center"/>
          </w:tcPr>
          <w:p w14:paraId="1723E44C">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2787" w:type="dxa"/>
            <w:shd w:val="clear" w:color="auto" w:fill="auto"/>
            <w:vAlign w:val="center"/>
          </w:tcPr>
          <w:p w14:paraId="56F9EE75">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无线手动火灾报警按钮</w:t>
            </w:r>
          </w:p>
        </w:tc>
        <w:tc>
          <w:tcPr>
            <w:tcW w:w="3763" w:type="dxa"/>
            <w:shd w:val="clear" w:color="auto" w:fill="auto"/>
            <w:vAlign w:val="center"/>
          </w:tcPr>
          <w:p w14:paraId="4362243D">
            <w:pPr>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DC3V，红绿黄三色指示灯</w:t>
            </w:r>
          </w:p>
        </w:tc>
        <w:tc>
          <w:tcPr>
            <w:tcW w:w="787" w:type="dxa"/>
            <w:shd w:val="clear" w:color="auto" w:fill="auto"/>
            <w:vAlign w:val="center"/>
          </w:tcPr>
          <w:p w14:paraId="5867FC3A">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32</w:t>
            </w:r>
          </w:p>
        </w:tc>
        <w:tc>
          <w:tcPr>
            <w:tcW w:w="788" w:type="dxa"/>
            <w:shd w:val="clear" w:color="auto" w:fill="auto"/>
            <w:vAlign w:val="center"/>
          </w:tcPr>
          <w:p w14:paraId="28441C28">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只</w:t>
            </w:r>
          </w:p>
        </w:tc>
      </w:tr>
      <w:tr w14:paraId="7E842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831" w:type="dxa"/>
            <w:shd w:val="clear" w:color="auto" w:fill="auto"/>
            <w:vAlign w:val="center"/>
          </w:tcPr>
          <w:p w14:paraId="31457BE1">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2787" w:type="dxa"/>
            <w:shd w:val="clear" w:color="auto" w:fill="auto"/>
            <w:vAlign w:val="center"/>
          </w:tcPr>
          <w:p w14:paraId="3C6109F0">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无线中继器</w:t>
            </w:r>
          </w:p>
        </w:tc>
        <w:tc>
          <w:tcPr>
            <w:tcW w:w="3763" w:type="dxa"/>
            <w:shd w:val="clear" w:color="auto" w:fill="auto"/>
            <w:vAlign w:val="center"/>
          </w:tcPr>
          <w:p w14:paraId="2C9726F0">
            <w:pPr>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LoRa通讯，最大通讯距离1000m，支持10级中继级联，单个中继器可接入最多200个无线终端；主电：DC12V电源适配器，备电：DC3.6V 2400mAh可充电锂电池。</w:t>
            </w:r>
          </w:p>
        </w:tc>
        <w:tc>
          <w:tcPr>
            <w:tcW w:w="787" w:type="dxa"/>
            <w:shd w:val="clear" w:color="auto" w:fill="auto"/>
            <w:vAlign w:val="center"/>
          </w:tcPr>
          <w:p w14:paraId="5BC99718">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p>
        </w:tc>
        <w:tc>
          <w:tcPr>
            <w:tcW w:w="788" w:type="dxa"/>
            <w:shd w:val="clear" w:color="auto" w:fill="auto"/>
            <w:vAlign w:val="center"/>
          </w:tcPr>
          <w:p w14:paraId="2978FF39">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台</w:t>
            </w:r>
          </w:p>
        </w:tc>
      </w:tr>
      <w:tr w14:paraId="6742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831" w:type="dxa"/>
            <w:shd w:val="clear" w:color="auto" w:fill="auto"/>
            <w:vAlign w:val="center"/>
          </w:tcPr>
          <w:p w14:paraId="09B3A43D">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w:t>
            </w:r>
          </w:p>
        </w:tc>
        <w:tc>
          <w:tcPr>
            <w:tcW w:w="2787" w:type="dxa"/>
            <w:shd w:val="clear" w:color="auto" w:fill="auto"/>
            <w:vAlign w:val="center"/>
          </w:tcPr>
          <w:p w14:paraId="38EC4D3C">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消防广播扬声器</w:t>
            </w:r>
          </w:p>
        </w:tc>
        <w:tc>
          <w:tcPr>
            <w:tcW w:w="3763" w:type="dxa"/>
            <w:shd w:val="clear" w:color="auto" w:fill="auto"/>
            <w:vAlign w:val="center"/>
          </w:tcPr>
          <w:p w14:paraId="37DD847F">
            <w:pPr>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吸顶式明装，重量轻、耐腐蚀、抗冲击</w:t>
            </w:r>
          </w:p>
        </w:tc>
        <w:tc>
          <w:tcPr>
            <w:tcW w:w="787" w:type="dxa"/>
            <w:shd w:val="clear" w:color="auto" w:fill="auto"/>
            <w:vAlign w:val="center"/>
          </w:tcPr>
          <w:p w14:paraId="23C10F7A">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32</w:t>
            </w:r>
          </w:p>
        </w:tc>
        <w:tc>
          <w:tcPr>
            <w:tcW w:w="788" w:type="dxa"/>
            <w:shd w:val="clear" w:color="auto" w:fill="auto"/>
            <w:vAlign w:val="center"/>
          </w:tcPr>
          <w:p w14:paraId="02D438D9">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个</w:t>
            </w:r>
          </w:p>
        </w:tc>
      </w:tr>
      <w:tr w14:paraId="619F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831" w:type="dxa"/>
            <w:shd w:val="clear" w:color="auto" w:fill="auto"/>
            <w:vAlign w:val="center"/>
          </w:tcPr>
          <w:p w14:paraId="19D9CCF0">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p>
        </w:tc>
        <w:tc>
          <w:tcPr>
            <w:tcW w:w="2787" w:type="dxa"/>
            <w:shd w:val="clear" w:color="auto" w:fill="auto"/>
            <w:vAlign w:val="center"/>
          </w:tcPr>
          <w:p w14:paraId="565ABB51">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输入/输出模块(广播模块）</w:t>
            </w:r>
          </w:p>
        </w:tc>
        <w:tc>
          <w:tcPr>
            <w:tcW w:w="3763" w:type="dxa"/>
            <w:shd w:val="clear" w:color="auto" w:fill="auto"/>
            <w:vAlign w:val="center"/>
          </w:tcPr>
          <w:p w14:paraId="2DC545F6">
            <w:pPr>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配套</w:t>
            </w:r>
          </w:p>
        </w:tc>
        <w:tc>
          <w:tcPr>
            <w:tcW w:w="787" w:type="dxa"/>
            <w:shd w:val="clear" w:color="auto" w:fill="auto"/>
            <w:vAlign w:val="center"/>
          </w:tcPr>
          <w:p w14:paraId="7D8039CD">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788" w:type="dxa"/>
            <w:shd w:val="clear" w:color="auto" w:fill="auto"/>
            <w:vAlign w:val="center"/>
          </w:tcPr>
          <w:p w14:paraId="517075D8">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只</w:t>
            </w:r>
          </w:p>
        </w:tc>
      </w:tr>
      <w:tr w14:paraId="175D6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831" w:type="dxa"/>
            <w:shd w:val="clear" w:color="auto" w:fill="auto"/>
            <w:vAlign w:val="center"/>
          </w:tcPr>
          <w:p w14:paraId="40E4A76D">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w:t>
            </w:r>
          </w:p>
        </w:tc>
        <w:tc>
          <w:tcPr>
            <w:tcW w:w="2787" w:type="dxa"/>
            <w:shd w:val="clear" w:color="auto" w:fill="auto"/>
            <w:vAlign w:val="center"/>
          </w:tcPr>
          <w:p w14:paraId="1EF7D305">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模块底座</w:t>
            </w:r>
          </w:p>
        </w:tc>
        <w:tc>
          <w:tcPr>
            <w:tcW w:w="3763" w:type="dxa"/>
            <w:shd w:val="clear" w:color="auto" w:fill="auto"/>
            <w:vAlign w:val="center"/>
          </w:tcPr>
          <w:p w14:paraId="38053FE3">
            <w:pPr>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配套</w:t>
            </w:r>
          </w:p>
        </w:tc>
        <w:tc>
          <w:tcPr>
            <w:tcW w:w="787" w:type="dxa"/>
            <w:shd w:val="clear" w:color="auto" w:fill="auto"/>
            <w:vAlign w:val="center"/>
          </w:tcPr>
          <w:p w14:paraId="2708CBA3">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788" w:type="dxa"/>
            <w:shd w:val="clear" w:color="auto" w:fill="auto"/>
            <w:vAlign w:val="center"/>
          </w:tcPr>
          <w:p w14:paraId="1778FBB7">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只</w:t>
            </w:r>
          </w:p>
        </w:tc>
      </w:tr>
      <w:tr w14:paraId="74E17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831" w:type="dxa"/>
            <w:shd w:val="clear" w:color="auto" w:fill="auto"/>
            <w:vAlign w:val="center"/>
          </w:tcPr>
          <w:p w14:paraId="75CF8EF4">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w:t>
            </w:r>
          </w:p>
        </w:tc>
        <w:tc>
          <w:tcPr>
            <w:tcW w:w="2787" w:type="dxa"/>
            <w:shd w:val="clear" w:color="auto" w:fill="auto"/>
            <w:vAlign w:val="center"/>
          </w:tcPr>
          <w:p w14:paraId="36AC0DE5">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壁挂消防应急广播主机</w:t>
            </w:r>
          </w:p>
        </w:tc>
        <w:tc>
          <w:tcPr>
            <w:tcW w:w="3763" w:type="dxa"/>
            <w:shd w:val="clear" w:color="auto" w:fill="auto"/>
            <w:vAlign w:val="center"/>
          </w:tcPr>
          <w:p w14:paraId="502F8152">
            <w:pPr>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不小于2.8英寸真彩色液晶显示屏，集成200W数字广播功放模块，具备应急、MP3、外线1和外线2四种播放模式，DC24V触发、CAN联动接口。</w:t>
            </w:r>
          </w:p>
        </w:tc>
        <w:tc>
          <w:tcPr>
            <w:tcW w:w="787" w:type="dxa"/>
            <w:shd w:val="clear" w:color="auto" w:fill="auto"/>
            <w:vAlign w:val="center"/>
          </w:tcPr>
          <w:p w14:paraId="1D42869F">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788" w:type="dxa"/>
            <w:shd w:val="clear" w:color="auto" w:fill="auto"/>
            <w:vAlign w:val="center"/>
          </w:tcPr>
          <w:p w14:paraId="1C333E15">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台</w:t>
            </w:r>
          </w:p>
        </w:tc>
      </w:tr>
      <w:tr w14:paraId="51F5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831" w:type="dxa"/>
            <w:shd w:val="clear" w:color="auto" w:fill="auto"/>
            <w:vAlign w:val="center"/>
          </w:tcPr>
          <w:p w14:paraId="2C8C05A8">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10</w:t>
            </w:r>
          </w:p>
        </w:tc>
        <w:tc>
          <w:tcPr>
            <w:tcW w:w="2787" w:type="dxa"/>
            <w:shd w:val="clear" w:color="auto" w:fill="auto"/>
            <w:vAlign w:val="center"/>
          </w:tcPr>
          <w:p w14:paraId="78C1D6DB">
            <w:pP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电源控制柜</w:t>
            </w:r>
          </w:p>
        </w:tc>
        <w:tc>
          <w:tcPr>
            <w:tcW w:w="3763" w:type="dxa"/>
            <w:shd w:val="clear" w:color="auto" w:fill="auto"/>
            <w:vAlign w:val="center"/>
          </w:tcPr>
          <w:p w14:paraId="79AB2AE8">
            <w:pPr>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100A</w:t>
            </w:r>
          </w:p>
        </w:tc>
        <w:tc>
          <w:tcPr>
            <w:tcW w:w="787" w:type="dxa"/>
            <w:shd w:val="clear" w:color="auto" w:fill="auto"/>
            <w:vAlign w:val="center"/>
          </w:tcPr>
          <w:p w14:paraId="5F9C2BE2">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1</w:t>
            </w:r>
          </w:p>
        </w:tc>
        <w:tc>
          <w:tcPr>
            <w:tcW w:w="788" w:type="dxa"/>
            <w:shd w:val="clear" w:color="auto" w:fill="auto"/>
            <w:vAlign w:val="center"/>
          </w:tcPr>
          <w:p w14:paraId="47275C4E">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台</w:t>
            </w:r>
          </w:p>
        </w:tc>
      </w:tr>
      <w:tr w14:paraId="40256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831" w:type="dxa"/>
            <w:shd w:val="clear" w:color="auto" w:fill="auto"/>
            <w:vAlign w:val="center"/>
          </w:tcPr>
          <w:p w14:paraId="6D1BFA73">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11</w:t>
            </w:r>
          </w:p>
        </w:tc>
        <w:tc>
          <w:tcPr>
            <w:tcW w:w="2787" w:type="dxa"/>
            <w:shd w:val="clear" w:color="auto" w:fill="auto"/>
            <w:vAlign w:val="center"/>
          </w:tcPr>
          <w:p w14:paraId="1E2ABA92">
            <w:pP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控制柜电缆（含敷设）</w:t>
            </w:r>
          </w:p>
        </w:tc>
        <w:tc>
          <w:tcPr>
            <w:tcW w:w="3763" w:type="dxa"/>
            <w:shd w:val="clear" w:color="auto" w:fill="auto"/>
            <w:vAlign w:val="center"/>
          </w:tcPr>
          <w:p w14:paraId="71284314">
            <w:pPr>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2*2.5，国标</w:t>
            </w:r>
          </w:p>
        </w:tc>
        <w:tc>
          <w:tcPr>
            <w:tcW w:w="787" w:type="dxa"/>
            <w:shd w:val="clear" w:color="auto" w:fill="auto"/>
            <w:vAlign w:val="center"/>
          </w:tcPr>
          <w:p w14:paraId="07B2A9BE">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100</w:t>
            </w:r>
          </w:p>
        </w:tc>
        <w:tc>
          <w:tcPr>
            <w:tcW w:w="788" w:type="dxa"/>
            <w:shd w:val="clear" w:color="auto" w:fill="auto"/>
            <w:vAlign w:val="center"/>
          </w:tcPr>
          <w:p w14:paraId="7EEAA5D9">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米</w:t>
            </w:r>
          </w:p>
        </w:tc>
      </w:tr>
      <w:tr w14:paraId="5509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831" w:type="dxa"/>
            <w:shd w:val="clear" w:color="auto" w:fill="auto"/>
            <w:vAlign w:val="center"/>
          </w:tcPr>
          <w:p w14:paraId="2DB137FD">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w:t>
            </w:r>
          </w:p>
        </w:tc>
        <w:tc>
          <w:tcPr>
            <w:tcW w:w="2787" w:type="dxa"/>
            <w:shd w:val="clear" w:color="auto" w:fill="auto"/>
            <w:vAlign w:val="center"/>
          </w:tcPr>
          <w:p w14:paraId="02BDB5C3">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阻燃双绞线（含敷设）</w:t>
            </w:r>
          </w:p>
        </w:tc>
        <w:tc>
          <w:tcPr>
            <w:tcW w:w="3763" w:type="dxa"/>
            <w:shd w:val="clear" w:color="auto" w:fill="auto"/>
            <w:vAlign w:val="center"/>
          </w:tcPr>
          <w:p w14:paraId="582D15BC">
            <w:pPr>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2*1.5，国标</w:t>
            </w:r>
          </w:p>
        </w:tc>
        <w:tc>
          <w:tcPr>
            <w:tcW w:w="787" w:type="dxa"/>
            <w:shd w:val="clear" w:color="auto" w:fill="auto"/>
            <w:vAlign w:val="center"/>
          </w:tcPr>
          <w:p w14:paraId="72E16EBE">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600</w:t>
            </w:r>
          </w:p>
        </w:tc>
        <w:tc>
          <w:tcPr>
            <w:tcW w:w="788" w:type="dxa"/>
            <w:shd w:val="clear" w:color="auto" w:fill="auto"/>
            <w:vAlign w:val="center"/>
          </w:tcPr>
          <w:p w14:paraId="4D627405">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米</w:t>
            </w:r>
          </w:p>
        </w:tc>
      </w:tr>
      <w:tr w14:paraId="2C7FC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831" w:type="dxa"/>
            <w:shd w:val="clear" w:color="auto" w:fill="auto"/>
            <w:vAlign w:val="center"/>
          </w:tcPr>
          <w:p w14:paraId="1B3846BB">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w:t>
            </w:r>
          </w:p>
        </w:tc>
        <w:tc>
          <w:tcPr>
            <w:tcW w:w="2787" w:type="dxa"/>
            <w:shd w:val="clear" w:color="auto" w:fill="auto"/>
            <w:vAlign w:val="center"/>
          </w:tcPr>
          <w:p w14:paraId="2DB84934">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镀锌线管（含敷设）</w:t>
            </w:r>
          </w:p>
        </w:tc>
        <w:tc>
          <w:tcPr>
            <w:tcW w:w="3763" w:type="dxa"/>
            <w:shd w:val="clear" w:color="auto" w:fill="auto"/>
            <w:vAlign w:val="center"/>
          </w:tcPr>
          <w:p w14:paraId="343659DE">
            <w:pPr>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国标</w:t>
            </w:r>
          </w:p>
        </w:tc>
        <w:tc>
          <w:tcPr>
            <w:tcW w:w="787" w:type="dxa"/>
            <w:shd w:val="clear" w:color="auto" w:fill="auto"/>
            <w:vAlign w:val="center"/>
          </w:tcPr>
          <w:p w14:paraId="20A360AC">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700</w:t>
            </w:r>
          </w:p>
        </w:tc>
        <w:tc>
          <w:tcPr>
            <w:tcW w:w="788" w:type="dxa"/>
            <w:shd w:val="clear" w:color="auto" w:fill="auto"/>
            <w:vAlign w:val="center"/>
          </w:tcPr>
          <w:p w14:paraId="21F55FB3">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米</w:t>
            </w:r>
          </w:p>
        </w:tc>
      </w:tr>
      <w:tr w14:paraId="6781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31" w:type="dxa"/>
            <w:shd w:val="clear" w:color="auto" w:fill="auto"/>
            <w:vAlign w:val="center"/>
          </w:tcPr>
          <w:p w14:paraId="403C811F">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w:t>
            </w:r>
          </w:p>
        </w:tc>
        <w:tc>
          <w:tcPr>
            <w:tcW w:w="2787" w:type="dxa"/>
            <w:shd w:val="clear" w:color="auto" w:fill="auto"/>
            <w:vAlign w:val="center"/>
          </w:tcPr>
          <w:p w14:paraId="22E5200C">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系统集成及辅材</w:t>
            </w:r>
          </w:p>
        </w:tc>
        <w:tc>
          <w:tcPr>
            <w:tcW w:w="3763" w:type="dxa"/>
            <w:shd w:val="clear" w:color="auto" w:fill="auto"/>
            <w:vAlign w:val="center"/>
          </w:tcPr>
          <w:p w14:paraId="56F25AD2">
            <w:pPr>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整体系统安装及功能调试</w:t>
            </w:r>
          </w:p>
        </w:tc>
        <w:tc>
          <w:tcPr>
            <w:tcW w:w="787" w:type="dxa"/>
            <w:shd w:val="clear" w:color="auto" w:fill="auto"/>
            <w:vAlign w:val="center"/>
          </w:tcPr>
          <w:p w14:paraId="77C92570">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788" w:type="dxa"/>
            <w:shd w:val="clear" w:color="auto" w:fill="auto"/>
            <w:vAlign w:val="center"/>
          </w:tcPr>
          <w:p w14:paraId="1A16C9F2">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项</w:t>
            </w:r>
          </w:p>
        </w:tc>
      </w:tr>
    </w:tbl>
    <w:p w14:paraId="0231DB4F">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八、采购要求</w:t>
      </w:r>
    </w:p>
    <w:p w14:paraId="3F875C5E">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1.投标人务必仔细阅读采购公告，了解采购货物参数要求和施工质量要求，其中：</w:t>
      </w:r>
    </w:p>
    <w:p w14:paraId="385A89BA">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（1）本项目所涉及的物品要求全新原装，表面无划伤、无碰撞，并符合下列要求：国家标准、行业</w:t>
      </w:r>
      <w:bookmarkStart w:id="0" w:name="_GoBack"/>
      <w:bookmarkEnd w:id="0"/>
      <w:r>
        <w:rPr>
          <w:rFonts w:hint="eastAsia" w:asciiTheme="minorEastAsia" w:hAnsiTheme="minorEastAsia" w:eastAsiaTheme="minorEastAsia" w:cstheme="minorEastAsia"/>
          <w:b w:val="0"/>
          <w:bCs w:val="0"/>
          <w:color w:val="auto"/>
          <w:kern w:val="2"/>
          <w:sz w:val="30"/>
          <w:szCs w:val="30"/>
          <w:lang w:val="en-US" w:eastAsia="zh-CN" w:bidi="ar-SA"/>
        </w:rPr>
        <w:t>标准以及该产品的出厂标准。且具有生产厂商产品质量保证检验合格证明书及根据法律法规要求的其他相关认证与证明文件，如国家产品强制性认证证书、消防质量监督部门颁发的产品检验报告等，或能够在“中国消防产品信息网”（http://www.cccf.com.cn）查询得到的质检报告。</w:t>
      </w:r>
    </w:p>
    <w:p w14:paraId="0A961808">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（2）报价产品的包装均应有良好的防湿、防锈、防潮、防雨、防腐及防碰撞的措施。</w:t>
      </w:r>
    </w:p>
    <w:p w14:paraId="249547BD">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（3）投标方应确保设备及所有配套件的完整性和可靠性。在投标前现场查勘过程中，对于公开询价文件中没有列出，而对该设备的正常运行必不可少的部件、配件等，投标方有责任给予补充。</w:t>
      </w:r>
    </w:p>
    <w:p w14:paraId="15CE65FD">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2.踏勘：本项目不组织投标人集中踏勘现场，各投标人视需求自行安排到项目所在地进行现场踏勘。无论投标人是否踏勘过现场，均被视为在投标截止时间之前已踏勘过现场，且对本项目潜在的风险和义务已完全了解，并在其投标文件中已充分考虑了本项目可能面临的不确定因素可能导致的风险。踏勘现场所发生的费用由投标人自行承担。</w:t>
      </w:r>
    </w:p>
    <w:p w14:paraId="5400B704">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3.安装调试：本工程必须严格按照国家现行技术标准、技术规范和采购方要求进行施工。供货时间（含安装）为20个工作日，包括货物供应、安装调试施工。中标人负责到采购人指定的安装地点进行安装调试。中标人应配设安装负责人，负责安装协调管理工作。安装所需工具设施物料由中标人自备。调试按国家相关验收规范进行。仪器设备的拆箱、安装、通电、调试等项工作由中标人负责，但必须在采购人指定人员的参与下进行。调试的原始记录须经各方签字后作为验收的文件之一。</w:t>
      </w:r>
    </w:p>
    <w:p w14:paraId="4D9B9793">
      <w:pPr>
        <w:snapToGrid w:val="0"/>
        <w:spacing w:line="440" w:lineRule="exact"/>
        <w:ind w:firstLine="600" w:firstLineChars="200"/>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4.中标人必须提供设备操作使用常规知识、技术特点、安装维修和一般的故障判断等知识培训，确保采购人能正确使用及维护设备，培训所需的费用包含在报价中。</w:t>
      </w:r>
    </w:p>
    <w:p w14:paraId="3BE8CAD0">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firstLine="600" w:firstLineChars="200"/>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5.验收工作由采购人按学院有关规定组织。</w:t>
      </w:r>
    </w:p>
    <w:p w14:paraId="40ADC3B4">
      <w:pPr>
        <w:pStyle w:val="19"/>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6.</w:t>
      </w:r>
      <w:r>
        <w:rPr>
          <w:rFonts w:hint="eastAsia" w:asciiTheme="minorEastAsia" w:hAnsiTheme="minorEastAsia" w:eastAsiaTheme="minorEastAsia" w:cstheme="minorEastAsia"/>
          <w:color w:val="auto"/>
          <w:sz w:val="30"/>
          <w:szCs w:val="30"/>
          <w:lang w:val="en-US" w:eastAsia="zh-CN"/>
        </w:rPr>
        <w:t>本项目的物品保管、施工安全、消防安全、环境卫生、派出现场服务人员人身安全等均由中标人自行负责，如因管理不善造成的损失由中标人全部承担。</w:t>
      </w:r>
    </w:p>
    <w:p w14:paraId="2BDCFD26">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7.产品质保期为3年质保，质保期内出现质量问题，中标人负责包修、包退、包换，所有质保费用均已包含在投标总价中。中标人需为采购人提供 7*24 售后维保服务，接到采购人售后服务通知后，应于 1 个工作日内安排售后服务人员上门服务。</w:t>
      </w:r>
    </w:p>
    <w:p w14:paraId="0FC71C5C">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九、报价和评标规则</w:t>
      </w:r>
    </w:p>
    <w:p w14:paraId="6463B1BF">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b w:val="0"/>
          <w:bCs w:val="0"/>
          <w:color w:val="auto"/>
          <w:kern w:val="2"/>
          <w:sz w:val="30"/>
          <w:szCs w:val="30"/>
          <w:lang w:val="en-US" w:eastAsia="zh-CN" w:bidi="ar-SA"/>
        </w:rPr>
        <w:t>1.</w:t>
      </w:r>
      <w:r>
        <w:rPr>
          <w:rFonts w:hint="eastAsia" w:asciiTheme="minorEastAsia" w:hAnsiTheme="minorEastAsia" w:eastAsiaTheme="minorEastAsia" w:cstheme="minorEastAsia"/>
          <w:i w:val="0"/>
          <w:iCs w:val="0"/>
          <w:caps w:val="0"/>
          <w:color w:val="auto"/>
          <w:spacing w:val="0"/>
          <w:sz w:val="30"/>
          <w:szCs w:val="30"/>
        </w:rPr>
        <w:t>本项目</w:t>
      </w:r>
      <w:r>
        <w:rPr>
          <w:rFonts w:hint="eastAsia" w:asciiTheme="minorEastAsia" w:hAnsiTheme="minorEastAsia" w:eastAsiaTheme="minorEastAsia" w:cstheme="minorEastAsia"/>
          <w:i w:val="0"/>
          <w:iCs w:val="0"/>
          <w:caps w:val="0"/>
          <w:color w:val="auto"/>
          <w:spacing w:val="0"/>
          <w:sz w:val="30"/>
          <w:szCs w:val="30"/>
          <w:lang w:val="en-US" w:eastAsia="zh-CN"/>
        </w:rPr>
        <w:t>报价</w:t>
      </w:r>
      <w:r>
        <w:rPr>
          <w:rFonts w:hint="eastAsia" w:asciiTheme="minorEastAsia" w:hAnsiTheme="minorEastAsia" w:eastAsiaTheme="minorEastAsia" w:cstheme="minorEastAsia"/>
          <w:i w:val="0"/>
          <w:iCs w:val="0"/>
          <w:caps w:val="0"/>
          <w:color w:val="auto"/>
          <w:spacing w:val="0"/>
          <w:sz w:val="30"/>
          <w:szCs w:val="30"/>
        </w:rPr>
        <w:t>采取综合报价法，</w:t>
      </w:r>
      <w:r>
        <w:rPr>
          <w:rFonts w:hint="eastAsia" w:asciiTheme="minorEastAsia" w:hAnsiTheme="minorEastAsia" w:eastAsiaTheme="minorEastAsia" w:cstheme="minorEastAsia"/>
          <w:i w:val="0"/>
          <w:iCs w:val="0"/>
          <w:caps w:val="0"/>
          <w:color w:val="auto"/>
          <w:spacing w:val="0"/>
          <w:sz w:val="30"/>
          <w:szCs w:val="30"/>
          <w:lang w:val="en-US" w:eastAsia="zh-CN"/>
        </w:rPr>
        <w:t>根据</w:t>
      </w:r>
      <w:r>
        <w:rPr>
          <w:rFonts w:hint="eastAsia" w:asciiTheme="minorEastAsia" w:hAnsiTheme="minorEastAsia" w:eastAsiaTheme="minorEastAsia" w:cstheme="minorEastAsia"/>
          <w:i w:val="0"/>
          <w:iCs w:val="0"/>
          <w:caps w:val="0"/>
          <w:color w:val="auto"/>
          <w:spacing w:val="0"/>
          <w:sz w:val="30"/>
          <w:szCs w:val="30"/>
        </w:rPr>
        <w:t>货物清单报分项价及总价。</w:t>
      </w:r>
      <w:r>
        <w:rPr>
          <w:rFonts w:hint="eastAsia" w:asciiTheme="minorEastAsia" w:hAnsiTheme="minorEastAsia" w:eastAsiaTheme="minorEastAsia" w:cstheme="minorEastAsia"/>
          <w:i w:val="0"/>
          <w:iCs w:val="0"/>
          <w:caps w:val="0"/>
          <w:color w:val="auto"/>
          <w:spacing w:val="0"/>
          <w:sz w:val="30"/>
          <w:szCs w:val="30"/>
          <w:lang w:val="en-US" w:eastAsia="zh-CN"/>
        </w:rPr>
        <w:t>总价为固定总费用，</w:t>
      </w:r>
      <w:r>
        <w:rPr>
          <w:rFonts w:hint="eastAsia" w:asciiTheme="minorEastAsia" w:hAnsiTheme="minorEastAsia" w:eastAsiaTheme="minorEastAsia" w:cstheme="minorEastAsia"/>
          <w:smallCaps w:val="0"/>
          <w:color w:val="auto"/>
          <w:sz w:val="30"/>
          <w:szCs w:val="30"/>
        </w:rPr>
        <w:t>包含</w:t>
      </w:r>
      <w:r>
        <w:rPr>
          <w:rFonts w:hint="eastAsia" w:asciiTheme="minorEastAsia" w:hAnsiTheme="minorEastAsia" w:eastAsiaTheme="minorEastAsia" w:cstheme="minorEastAsia"/>
          <w:b w:val="0"/>
          <w:bCs w:val="0"/>
          <w:color w:val="auto"/>
          <w:kern w:val="2"/>
          <w:sz w:val="30"/>
          <w:szCs w:val="30"/>
          <w:lang w:val="en-US" w:eastAsia="zh-CN" w:bidi="ar-SA"/>
        </w:rPr>
        <w:t>与本项目有关的设备材料的采购、检测、包装、装卸、运输、保管、保险、安装、调试、验收、质保、人员培训、保险、相关税费等一切相关费用</w:t>
      </w:r>
      <w:r>
        <w:rPr>
          <w:rFonts w:hint="eastAsia" w:asciiTheme="minorEastAsia" w:hAnsiTheme="minorEastAsia" w:eastAsiaTheme="minorEastAsia" w:cstheme="minorEastAsia"/>
          <w:smallCaps w:val="0"/>
          <w:color w:val="auto"/>
          <w:sz w:val="30"/>
          <w:szCs w:val="30"/>
          <w:lang w:eastAsia="zh-CN"/>
        </w:rPr>
        <w:t>，</w:t>
      </w:r>
      <w:r>
        <w:rPr>
          <w:rFonts w:hint="eastAsia" w:asciiTheme="minorEastAsia" w:hAnsiTheme="minorEastAsia" w:eastAsiaTheme="minorEastAsia" w:cstheme="minorEastAsia"/>
          <w:b/>
          <w:bCs/>
          <w:color w:val="auto"/>
          <w:kern w:val="2"/>
          <w:sz w:val="30"/>
          <w:szCs w:val="30"/>
          <w:lang w:val="en-US" w:eastAsia="zh-CN" w:bidi="ar-SA"/>
        </w:rPr>
        <w:t>因成交供应商自身原因造成漏报、少报皆由其自行承担责任，采购人不再补偿。</w:t>
      </w:r>
      <w:r>
        <w:rPr>
          <w:rFonts w:hint="eastAsia" w:asciiTheme="minorEastAsia" w:hAnsiTheme="minorEastAsia" w:eastAsiaTheme="minorEastAsia" w:cstheme="minorEastAsia"/>
          <w:color w:val="auto"/>
          <w:sz w:val="30"/>
          <w:szCs w:val="30"/>
          <w:lang w:val="en-US" w:eastAsia="zh-CN"/>
        </w:rPr>
        <w:t>投标方投标报价清单须列出所投货物品牌（特殊货物无品牌可不列出）、规格及参数。</w:t>
      </w:r>
    </w:p>
    <w:p w14:paraId="03BB4E3D">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b w:val="0"/>
          <w:bCs w:val="0"/>
          <w:color w:val="auto"/>
          <w:kern w:val="2"/>
          <w:sz w:val="30"/>
          <w:szCs w:val="30"/>
          <w:lang w:val="en-US" w:eastAsia="zh-CN" w:bidi="ar-SA"/>
        </w:rPr>
        <w:t>2.</w:t>
      </w:r>
      <w:r>
        <w:rPr>
          <w:rFonts w:hint="eastAsia" w:asciiTheme="minorEastAsia" w:hAnsiTheme="minorEastAsia" w:eastAsiaTheme="minorEastAsia" w:cstheme="minorEastAsia"/>
          <w:color w:val="auto"/>
          <w:sz w:val="30"/>
          <w:szCs w:val="30"/>
          <w:lang w:val="en-US" w:eastAsia="zh-CN"/>
        </w:rPr>
        <w:t>本项目采购方式为公开询价。询价小组根据投标人满足采购文件全部实质性要求情况，按有效最低价原则确定中标候选人顺序。</w:t>
      </w:r>
    </w:p>
    <w:p w14:paraId="173568C9">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b/>
          <w:bCs/>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3.特别提醒：</w:t>
      </w:r>
      <w:r>
        <w:rPr>
          <w:rFonts w:hint="eastAsia" w:asciiTheme="minorEastAsia" w:hAnsiTheme="minorEastAsia" w:eastAsiaTheme="minorEastAsia" w:cstheme="minorEastAsia"/>
          <w:b/>
          <w:bCs/>
          <w:color w:val="auto"/>
          <w:sz w:val="30"/>
          <w:szCs w:val="30"/>
          <w:lang w:val="en-US" w:eastAsia="zh-CN"/>
        </w:rPr>
        <w:t>询价小组对招标需求的价格进行符合性甄别，严重偏离市场价格或会影响到对采购人售后服务的，询价小组经集体讨论可以认定为不满足招标文件要求。</w:t>
      </w:r>
    </w:p>
    <w:p w14:paraId="2914398C">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4.采购人及询价小组不向落标方解释落标原因，不退还投标文件，保密保存。</w:t>
      </w:r>
    </w:p>
    <w:p w14:paraId="42C49CB8">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5.本次招标不收取任何费用。投标人应自行承担所有与投标有关的费用。无论投标的结果如何，池州职业技术学院在任何情况下均无义务和责任承担这些费用。</w:t>
      </w:r>
    </w:p>
    <w:p w14:paraId="0E523E69">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6.因本次招标未收取任何费用，中标单位若恶意放弃中标资格，将被采购人登记信用记录，不再允许参加采购人任何采购活动。情节严重的，采购人将上报上级主管部门纳入信用不良记录名单。</w:t>
      </w:r>
    </w:p>
    <w:p w14:paraId="7AFD8285">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十、付款方式</w:t>
      </w:r>
    </w:p>
    <w:p w14:paraId="0752366C">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中标供应商向采购人开具付款项的全额发票，货物安装调试完毕且验收合格后，在提供其他符合采购人付款流程所需材料的前提下，采购人一次性付清全部货款。</w:t>
      </w:r>
    </w:p>
    <w:p w14:paraId="7347213C">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default" w:asciiTheme="minorEastAsia" w:hAnsiTheme="minorEastAsia" w:eastAsiaTheme="minorEastAsia" w:cstheme="minorEastAsia"/>
          <w:color w:val="auto"/>
          <w:sz w:val="30"/>
          <w:szCs w:val="30"/>
          <w:lang w:val="en-US" w:eastAsia="zh-CN"/>
        </w:rPr>
      </w:pPr>
    </w:p>
    <w:sectPr>
      <w:footerReference r:id="rId3" w:type="default"/>
      <w:pgSz w:w="11906" w:h="16838"/>
      <w:pgMar w:top="2098" w:right="1474" w:bottom="1984" w:left="1587"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B8EF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CD3F9F">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0CD3F9F">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1ZGYwZmE3YTk3YTUzZmNkMWJlZTY5YWYwOTQyNjcifQ=="/>
  </w:docVars>
  <w:rsids>
    <w:rsidRoot w:val="009611EF"/>
    <w:rsid w:val="00063701"/>
    <w:rsid w:val="008D4DA7"/>
    <w:rsid w:val="009611EF"/>
    <w:rsid w:val="009A68AB"/>
    <w:rsid w:val="021D5640"/>
    <w:rsid w:val="02D214DD"/>
    <w:rsid w:val="03564E08"/>
    <w:rsid w:val="040522C0"/>
    <w:rsid w:val="04A50462"/>
    <w:rsid w:val="05CD5FC4"/>
    <w:rsid w:val="094D506F"/>
    <w:rsid w:val="095247B0"/>
    <w:rsid w:val="0962704F"/>
    <w:rsid w:val="0E433A03"/>
    <w:rsid w:val="0FD33C75"/>
    <w:rsid w:val="10FC4D5C"/>
    <w:rsid w:val="113B74BE"/>
    <w:rsid w:val="11AD6CF1"/>
    <w:rsid w:val="12674CDE"/>
    <w:rsid w:val="13E075FE"/>
    <w:rsid w:val="141D5FFA"/>
    <w:rsid w:val="150E0F10"/>
    <w:rsid w:val="1625776D"/>
    <w:rsid w:val="182E4DAB"/>
    <w:rsid w:val="18A42DEF"/>
    <w:rsid w:val="1B29672D"/>
    <w:rsid w:val="1CAB1480"/>
    <w:rsid w:val="1DC835AB"/>
    <w:rsid w:val="20DE2CE2"/>
    <w:rsid w:val="221F6A66"/>
    <w:rsid w:val="24436A35"/>
    <w:rsid w:val="24877EA8"/>
    <w:rsid w:val="25FF3C79"/>
    <w:rsid w:val="26AA7CF2"/>
    <w:rsid w:val="275757D7"/>
    <w:rsid w:val="2A551F44"/>
    <w:rsid w:val="2ABD76F5"/>
    <w:rsid w:val="2ABE3D6C"/>
    <w:rsid w:val="2D2826D7"/>
    <w:rsid w:val="2DC77B6B"/>
    <w:rsid w:val="2E3F06FA"/>
    <w:rsid w:val="2F3E36CD"/>
    <w:rsid w:val="305218E1"/>
    <w:rsid w:val="319D04B7"/>
    <w:rsid w:val="32085711"/>
    <w:rsid w:val="32C80EFE"/>
    <w:rsid w:val="33622A36"/>
    <w:rsid w:val="35D738CB"/>
    <w:rsid w:val="366F1D26"/>
    <w:rsid w:val="369B35A4"/>
    <w:rsid w:val="370E51A4"/>
    <w:rsid w:val="37DF303C"/>
    <w:rsid w:val="38D5034D"/>
    <w:rsid w:val="390667A8"/>
    <w:rsid w:val="3AAF021D"/>
    <w:rsid w:val="3C293F7E"/>
    <w:rsid w:val="3C38552D"/>
    <w:rsid w:val="3D4B5829"/>
    <w:rsid w:val="3EDC03C1"/>
    <w:rsid w:val="3F0E36DA"/>
    <w:rsid w:val="410C7844"/>
    <w:rsid w:val="428B0580"/>
    <w:rsid w:val="437B4B83"/>
    <w:rsid w:val="437F10C9"/>
    <w:rsid w:val="43B6461B"/>
    <w:rsid w:val="43EA392C"/>
    <w:rsid w:val="43F54CD6"/>
    <w:rsid w:val="44341B4F"/>
    <w:rsid w:val="44D22496"/>
    <w:rsid w:val="459B72F8"/>
    <w:rsid w:val="46626485"/>
    <w:rsid w:val="46761EE9"/>
    <w:rsid w:val="46F72688"/>
    <w:rsid w:val="470D3C59"/>
    <w:rsid w:val="48761DFC"/>
    <w:rsid w:val="4A1C2405"/>
    <w:rsid w:val="4A4F6C75"/>
    <w:rsid w:val="4A6120EB"/>
    <w:rsid w:val="4AF67D7F"/>
    <w:rsid w:val="4D3E4F80"/>
    <w:rsid w:val="4F561F5D"/>
    <w:rsid w:val="503D0265"/>
    <w:rsid w:val="50E023DF"/>
    <w:rsid w:val="531A0126"/>
    <w:rsid w:val="54175603"/>
    <w:rsid w:val="54A805DD"/>
    <w:rsid w:val="58D06745"/>
    <w:rsid w:val="599C35F2"/>
    <w:rsid w:val="59A30CB7"/>
    <w:rsid w:val="5B3B3E9A"/>
    <w:rsid w:val="5C96175F"/>
    <w:rsid w:val="60207CD1"/>
    <w:rsid w:val="616F1DA9"/>
    <w:rsid w:val="62E05795"/>
    <w:rsid w:val="64867BFD"/>
    <w:rsid w:val="67E40E57"/>
    <w:rsid w:val="69B35F1C"/>
    <w:rsid w:val="6BF42162"/>
    <w:rsid w:val="6C4F2D7E"/>
    <w:rsid w:val="6C88565F"/>
    <w:rsid w:val="6CA87DFD"/>
    <w:rsid w:val="6E1C483C"/>
    <w:rsid w:val="6EE719FA"/>
    <w:rsid w:val="6FDD7DBD"/>
    <w:rsid w:val="70D65734"/>
    <w:rsid w:val="715A6E02"/>
    <w:rsid w:val="72B41A3F"/>
    <w:rsid w:val="7310788A"/>
    <w:rsid w:val="73437F0B"/>
    <w:rsid w:val="74BD39EF"/>
    <w:rsid w:val="75B34D52"/>
    <w:rsid w:val="75E44C31"/>
    <w:rsid w:val="76651992"/>
    <w:rsid w:val="7677358E"/>
    <w:rsid w:val="76F955B8"/>
    <w:rsid w:val="79D14874"/>
    <w:rsid w:val="7A2917CF"/>
    <w:rsid w:val="7B49426F"/>
    <w:rsid w:val="7BBB150C"/>
    <w:rsid w:val="7C7A0553"/>
    <w:rsid w:val="7CCC6D29"/>
    <w:rsid w:val="7E3B061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6">
    <w:name w:val="Body Text First Indent"/>
    <w:basedOn w:val="2"/>
    <w:unhideWhenUsed/>
    <w:qFormat/>
    <w:uiPriority w:val="99"/>
    <w:pPr>
      <w:ind w:firstLine="420" w:firstLineChars="1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qFormat/>
    <w:uiPriority w:val="0"/>
    <w:rPr>
      <w:color w:val="333333"/>
      <w:u w:val="none"/>
    </w:rPr>
  </w:style>
  <w:style w:type="character" w:styleId="11">
    <w:name w:val="Emphasis"/>
    <w:basedOn w:val="9"/>
    <w:qFormat/>
    <w:uiPriority w:val="0"/>
    <w:rPr>
      <w:i/>
    </w:rPr>
  </w:style>
  <w:style w:type="character" w:styleId="12">
    <w:name w:val="Hyperlink"/>
    <w:qFormat/>
    <w:uiPriority w:val="0"/>
    <w:rPr>
      <w:color w:val="333333"/>
      <w:u w:val="none"/>
    </w:rPr>
  </w:style>
  <w:style w:type="character" w:customStyle="1" w:styleId="13">
    <w:name w:val="hover"/>
    <w:qFormat/>
    <w:uiPriority w:val="0"/>
  </w:style>
  <w:style w:type="character" w:customStyle="1" w:styleId="14">
    <w:name w:val="font11"/>
    <w:basedOn w:val="9"/>
    <w:qFormat/>
    <w:uiPriority w:val="0"/>
    <w:rPr>
      <w:rFonts w:hint="eastAsia" w:ascii="宋体" w:hAnsi="宋体" w:eastAsia="宋体" w:cs="宋体"/>
      <w:b/>
      <w:bCs/>
      <w:color w:val="000000"/>
      <w:sz w:val="24"/>
      <w:szCs w:val="24"/>
      <w:u w:val="none"/>
    </w:rPr>
  </w:style>
  <w:style w:type="character" w:customStyle="1" w:styleId="15">
    <w:name w:val="font141"/>
    <w:basedOn w:val="9"/>
    <w:qFormat/>
    <w:uiPriority w:val="0"/>
    <w:rPr>
      <w:rFonts w:hint="eastAsia" w:ascii="宋体" w:hAnsi="宋体" w:eastAsia="宋体" w:cs="宋体"/>
      <w:b/>
      <w:bCs/>
      <w:color w:val="000000"/>
      <w:sz w:val="21"/>
      <w:szCs w:val="21"/>
      <w:u w:val="none"/>
    </w:rPr>
  </w:style>
  <w:style w:type="character" w:customStyle="1" w:styleId="16">
    <w:name w:val="font31"/>
    <w:basedOn w:val="9"/>
    <w:qFormat/>
    <w:uiPriority w:val="0"/>
    <w:rPr>
      <w:rFonts w:hint="eastAsia" w:ascii="宋体" w:hAnsi="宋体" w:eastAsia="宋体" w:cs="宋体"/>
      <w:b/>
      <w:bCs/>
      <w:color w:val="000000"/>
      <w:sz w:val="24"/>
      <w:szCs w:val="24"/>
      <w:u w:val="none"/>
    </w:rPr>
  </w:style>
  <w:style w:type="character" w:customStyle="1" w:styleId="17">
    <w:name w:val="font131"/>
    <w:basedOn w:val="9"/>
    <w:qFormat/>
    <w:uiPriority w:val="0"/>
    <w:rPr>
      <w:rFonts w:hint="eastAsia" w:ascii="宋体" w:hAnsi="宋体" w:eastAsia="宋体" w:cs="宋体"/>
      <w:b/>
      <w:bCs/>
      <w:color w:val="000000"/>
      <w:sz w:val="21"/>
      <w:szCs w:val="21"/>
      <w:u w:val="none"/>
    </w:rPr>
  </w:style>
  <w:style w:type="character" w:customStyle="1" w:styleId="18">
    <w:name w:val="font122"/>
    <w:basedOn w:val="9"/>
    <w:qFormat/>
    <w:uiPriority w:val="0"/>
    <w:rPr>
      <w:rFonts w:hint="eastAsia" w:ascii="宋体" w:hAnsi="宋体" w:eastAsia="宋体" w:cs="宋体"/>
      <w:b/>
      <w:bCs/>
      <w:color w:val="000000"/>
      <w:sz w:val="28"/>
      <w:szCs w:val="28"/>
      <w:u w:val="none"/>
    </w:rPr>
  </w:style>
  <w:style w:type="paragraph" w:customStyle="1" w:styleId="19">
    <w:name w:val="无间隔1"/>
    <w:autoRedefine/>
    <w:qFormat/>
    <w:uiPriority w:val="0"/>
    <w:pPr>
      <w:widowControl w:val="0"/>
      <w:spacing w:line="300" w:lineRule="auto"/>
    </w:pPr>
    <w:rPr>
      <w:rFonts w:ascii="Calibri" w:hAnsi="Calibri" w:eastAsia="华文仿宋"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2401</Words>
  <Characters>2581</Characters>
  <Lines>6</Lines>
  <Paragraphs>1</Paragraphs>
  <TotalTime>3</TotalTime>
  <ScaleCrop>false</ScaleCrop>
  <LinksUpToDate>false</LinksUpToDate>
  <CharactersWithSpaces>2589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2022-03-01T12:33:00Z</dcterms:created>
  <dc:creator>Administrator</dc:creator>
  <cp:lastModifiedBy>小怪兽</cp:lastModifiedBy>
  <cp:lastPrinted>2023-11-23T00:14:00Z</cp:lastPrinted>
  <dcterms:modified xsi:type="dcterms:W3CDTF">2025-04-04T08:04:26Z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954A29E6436D4E68805D15A9A50C9C13_13</vt:lpwstr>
  </property>
  <property fmtid="{D5CDD505-2E9C-101B-9397-08002B2CF9AE}" pid="4" name="KSOTemplateDocerSaveRecord">
    <vt:lpwstr>eyJoZGlkIjoiYmMwNDNhNzQwZDA3NDI0YmEyOGFjZTBiNDg1N2NjY2EiLCJ1c2VySWQiOiI2MTI2OTYxNTIifQ==</vt:lpwstr>
  </property>
</Properties>
</file>