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rPr>
          <w:rFonts w:hint="eastAsia"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用户</w:t>
      </w:r>
      <w:r>
        <w:rPr>
          <w:rFonts w:hint="eastAsia"/>
          <w:color w:val="auto"/>
          <w:sz w:val="32"/>
          <w:szCs w:val="32"/>
        </w:rPr>
        <w:t>需求书</w:t>
      </w:r>
    </w:p>
    <w:p>
      <w:pPr>
        <w:pStyle w:val="11"/>
        <w:numPr>
          <w:numId w:val="0"/>
        </w:numPr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一、</w:t>
      </w:r>
      <w:bookmarkStart w:id="3" w:name="_GoBack"/>
      <w:bookmarkEnd w:id="3"/>
      <w:r>
        <w:rPr>
          <w:rFonts w:hint="eastAsia"/>
          <w:color w:val="auto"/>
          <w:sz w:val="32"/>
          <w:szCs w:val="32"/>
          <w:lang w:val="en-US" w:eastAsia="zh-CN"/>
        </w:rPr>
        <w:t>项目名称：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池州职业技术学院南大门固定式遮阳棚项目；</w:t>
      </w:r>
    </w:p>
    <w:p>
      <w:pPr>
        <w:pStyle w:val="11"/>
        <w:numPr>
          <w:ilvl w:val="0"/>
          <w:numId w:val="0"/>
        </w:numPr>
        <w:jc w:val="left"/>
        <w:rPr>
          <w:rFonts w:hint="default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二、项目概况：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为积极响应池州市创建全国文明城市的要求，且规范新生开学期间的疫情防控管理，需在学院南门入口处搭设固定式遮阳棚。</w:t>
      </w:r>
    </w:p>
    <w:p>
      <w:pPr>
        <w:pStyle w:val="11"/>
        <w:numPr>
          <w:ilvl w:val="0"/>
          <w:numId w:val="0"/>
        </w:numPr>
        <w:jc w:val="left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三、项目内容：</w:t>
      </w:r>
    </w:p>
    <w:tbl>
      <w:tblPr>
        <w:tblStyle w:val="9"/>
        <w:tblW w:w="94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1899"/>
        <w:gridCol w:w="1899"/>
        <w:gridCol w:w="1899"/>
        <w:gridCol w:w="1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899" w:type="dxa"/>
          </w:tcPr>
          <w:p>
            <w:pPr>
              <w:pStyle w:val="11"/>
              <w:numPr>
                <w:ilvl w:val="0"/>
                <w:numId w:val="0"/>
              </w:numPr>
              <w:jc w:val="center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899" w:type="dxa"/>
          </w:tcPr>
          <w:p>
            <w:pPr>
              <w:pStyle w:val="11"/>
              <w:numPr>
                <w:ilvl w:val="0"/>
                <w:numId w:val="0"/>
              </w:numPr>
              <w:jc w:val="center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面积</w:t>
            </w:r>
          </w:p>
        </w:tc>
        <w:tc>
          <w:tcPr>
            <w:tcW w:w="1899" w:type="dxa"/>
          </w:tcPr>
          <w:p>
            <w:pPr>
              <w:pStyle w:val="11"/>
              <w:numPr>
                <w:ilvl w:val="0"/>
                <w:numId w:val="0"/>
              </w:numPr>
              <w:jc w:val="center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服务期</w:t>
            </w:r>
          </w:p>
        </w:tc>
        <w:tc>
          <w:tcPr>
            <w:tcW w:w="1899" w:type="dxa"/>
          </w:tcPr>
          <w:p>
            <w:pPr>
              <w:pStyle w:val="11"/>
              <w:numPr>
                <w:ilvl w:val="0"/>
                <w:numId w:val="0"/>
              </w:numPr>
              <w:jc w:val="center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项目预算</w:t>
            </w:r>
          </w:p>
        </w:tc>
        <w:tc>
          <w:tcPr>
            <w:tcW w:w="1901" w:type="dxa"/>
          </w:tcPr>
          <w:p>
            <w:pPr>
              <w:pStyle w:val="11"/>
              <w:numPr>
                <w:ilvl w:val="0"/>
                <w:numId w:val="0"/>
              </w:numPr>
              <w:jc w:val="center"/>
              <w:rPr>
                <w:rFonts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899" w:type="dxa"/>
            <w:vAlign w:val="center"/>
          </w:tcPr>
          <w:p>
            <w:pPr>
              <w:pStyle w:val="11"/>
              <w:numPr>
                <w:ilvl w:val="0"/>
                <w:numId w:val="0"/>
              </w:num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899" w:type="dxa"/>
            <w:vAlign w:val="center"/>
          </w:tcPr>
          <w:p>
            <w:pPr>
              <w:pStyle w:val="11"/>
              <w:numPr>
                <w:ilvl w:val="0"/>
                <w:numId w:val="0"/>
              </w:num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投影面积：55㎡</w:t>
            </w:r>
          </w:p>
        </w:tc>
        <w:tc>
          <w:tcPr>
            <w:tcW w:w="1899" w:type="dxa"/>
            <w:vAlign w:val="center"/>
          </w:tcPr>
          <w:p>
            <w:pPr>
              <w:pStyle w:val="11"/>
              <w:numPr>
                <w:ilvl w:val="0"/>
                <w:numId w:val="0"/>
              </w:num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自签订合同之日起10天内完成。</w:t>
            </w:r>
          </w:p>
        </w:tc>
        <w:tc>
          <w:tcPr>
            <w:tcW w:w="1899" w:type="dxa"/>
            <w:vAlign w:val="center"/>
          </w:tcPr>
          <w:p>
            <w:pPr>
              <w:pStyle w:val="11"/>
              <w:numPr>
                <w:ilvl w:val="0"/>
                <w:numId w:val="0"/>
              </w:num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3.3万元</w:t>
            </w:r>
          </w:p>
        </w:tc>
        <w:tc>
          <w:tcPr>
            <w:tcW w:w="1901" w:type="dxa"/>
            <w:vAlign w:val="center"/>
          </w:tcPr>
          <w:p>
            <w:pPr>
              <w:pStyle w:val="11"/>
              <w:numPr>
                <w:ilvl w:val="0"/>
                <w:numId w:val="0"/>
              </w:numPr>
              <w:jc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质保期：工程验收合格后一年。</w:t>
            </w:r>
          </w:p>
        </w:tc>
      </w:tr>
    </w:tbl>
    <w:p>
      <w:pPr>
        <w:pStyle w:val="11"/>
        <w:numPr>
          <w:ilvl w:val="0"/>
          <w:numId w:val="0"/>
        </w:numPr>
        <w:jc w:val="left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color w:val="auto"/>
          <w:sz w:val="32"/>
          <w:szCs w:val="32"/>
          <w:lang w:val="en-US" w:eastAsia="zh-CN"/>
        </w:rPr>
        <w:t>四、技术参数及功能要求</w:t>
      </w:r>
    </w:p>
    <w:tbl>
      <w:tblPr>
        <w:tblStyle w:val="9"/>
        <w:tblW w:w="523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782"/>
        <w:gridCol w:w="5452"/>
        <w:gridCol w:w="1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9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0"/>
              </w:rPr>
              <w:t>序号</w:t>
            </w:r>
          </w:p>
        </w:tc>
        <w:tc>
          <w:tcPr>
            <w:tcW w:w="999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0"/>
                <w:lang w:eastAsia="zh-CN"/>
              </w:rPr>
              <w:t>货物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0"/>
              </w:rPr>
              <w:t>名称</w:t>
            </w:r>
          </w:p>
        </w:tc>
        <w:tc>
          <w:tcPr>
            <w:tcW w:w="3057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0"/>
                <w:lang w:eastAsia="zh-CN"/>
              </w:rPr>
              <w:t>技术参数及功能要求</w:t>
            </w: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0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2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9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  <w:lang w:val="en-US" w:eastAsia="zh-CN"/>
              </w:rPr>
              <w:t>顶棚</w:t>
            </w:r>
          </w:p>
        </w:tc>
        <w:tc>
          <w:tcPr>
            <w:tcW w:w="3057" w:type="pct"/>
            <w:vAlign w:val="center"/>
          </w:tcPr>
          <w:p>
            <w:pPr>
              <w:pStyle w:val="2"/>
              <w:ind w:left="0" w:leftChars="0" w:firstLine="0" w:firstLineChars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1.顶面框架是使用铝合金材质，主梁96*60*2.0(mm)，副梁80*90*2.0(mm)</w:t>
            </w:r>
          </w:p>
          <w:p>
            <w:pPr>
              <w:pStyle w:val="2"/>
              <w:ind w:left="0" w:leftChars="0" w:firstLine="0" w:firstLineChars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2.优质铝合金，防锈烤漆，高温喷分层，强化基底层，碳化钨增强层。</w:t>
            </w:r>
          </w:p>
          <w:p>
            <w:pPr>
              <w:pStyle w:val="2"/>
              <w:ind w:left="0" w:leftChars="0" w:firstLine="0" w:firstLineChars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3.顶面透光材料是使用PC耐力板材质，颜色是湖蓝色，厚度是2mm</w:t>
            </w:r>
          </w:p>
          <w:p>
            <w:pPr>
              <w:pStyle w:val="2"/>
              <w:ind w:left="0" w:leftChars="0" w:firstLine="0" w:firstLineChars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4.UV涂层阻挡紫外线，防雨、防晒、防火</w:t>
            </w:r>
          </w:p>
          <w:p>
            <w:pPr>
              <w:rPr>
                <w:rFonts w:hint="default" w:ascii="Arial" w:hAnsi="Arial" w:eastAsia="仿宋_GB2312" w:cs="Times New Roman"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仿宋_GB2312" w:cs="Times New Roman"/>
                <w:kern w:val="2"/>
                <w:sz w:val="28"/>
                <w:szCs w:val="20"/>
                <w:lang w:val="en-US" w:eastAsia="zh-CN" w:bidi="ar-SA"/>
              </w:rPr>
              <w:t>5.顶棚与横梁之间铺设隔热膜；</w:t>
            </w:r>
          </w:p>
          <w:p>
            <w:pPr>
              <w:pStyle w:val="2"/>
              <w:ind w:left="0" w:leftChars="0" w:firstLine="0" w:firstLineChars="0"/>
              <w:jc w:val="left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6.提供安装设计。</w:t>
            </w:r>
          </w:p>
        </w:tc>
        <w:tc>
          <w:tcPr>
            <w:tcW w:w="6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29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99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钢结构</w:t>
            </w:r>
          </w:p>
        </w:tc>
        <w:tc>
          <w:tcPr>
            <w:tcW w:w="3057" w:type="pct"/>
            <w:vAlign w:val="center"/>
          </w:tcPr>
          <w:p>
            <w:pPr>
              <w:jc w:val="left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/>
                <w:sz w:val="28"/>
                <w:szCs w:val="28"/>
                <w:lang w:val="en-US" w:eastAsia="zh-CN"/>
              </w:rPr>
              <w:t>1.铝合金框架颜色：灰色；</w:t>
            </w:r>
          </w:p>
          <w:p>
            <w:pPr>
              <w:jc w:val="left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/>
                <w:sz w:val="28"/>
                <w:szCs w:val="28"/>
                <w:lang w:val="en-US" w:eastAsia="zh-CN"/>
              </w:rPr>
              <w:t>2.材料规格：立柱120*120*3.0(mm), 主梁96*60*2.0(mm)，副梁80*90*2.0(mm)，小支架25*35*1.0(mm)，侧梁120*120*3.0(mm)，水槽160*80*1.6(mm)，水管40*1.0(mm)（配饰配件要包含立柱排水管、水槽、聚碳酸酯板、螺丝、角马等。）</w:t>
            </w:r>
          </w:p>
          <w:p>
            <w:pPr>
              <w:jc w:val="left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/>
                <w:sz w:val="28"/>
                <w:szCs w:val="28"/>
                <w:lang w:val="en-US" w:eastAsia="zh-CN"/>
              </w:rPr>
              <w:t>★3.该雨棚使用的铝合金、隔热型材供应商需提供型材厂家检测报告复印件，检测报告符合GB/T5237.6-2017《铝合金建筑型材第6部分：隔热型材》标准的要求。其中检测报告中所检的项目必须包含：</w:t>
            </w:r>
          </w:p>
          <w:p>
            <w:pPr>
              <w:pStyle w:val="2"/>
              <w:ind w:left="0" w:leftChars="0" w:firstLine="0" w:firstLineChars="0"/>
              <w:jc w:val="left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lang w:val="en-US" w:eastAsia="zh-CN"/>
              </w:rPr>
              <w:t>（1）弯曲度任意300mm长度上不大于0.3；</w:t>
            </w:r>
          </w:p>
          <w:p>
            <w:pPr>
              <w:pStyle w:val="2"/>
              <w:ind w:left="0" w:leftChars="0" w:firstLine="0" w:firstLineChars="0"/>
              <w:jc w:val="left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lang w:val="en-US" w:eastAsia="zh-CN"/>
              </w:rPr>
              <w:t>（2）扭拧度检测结果为每条长度上不大于1.60mm；</w:t>
            </w:r>
          </w:p>
          <w:p>
            <w:pPr>
              <w:pStyle w:val="2"/>
              <w:ind w:left="0" w:leftChars="0" w:firstLine="0" w:firstLineChars="0"/>
              <w:jc w:val="left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lang w:val="en-US" w:eastAsia="zh-CN"/>
              </w:rPr>
              <w:t>（3）壁厚尺寸范围是1.2±0.30mm之间；</w:t>
            </w:r>
          </w:p>
          <w:p>
            <w:pPr>
              <w:pStyle w:val="2"/>
              <w:ind w:left="0" w:leftChars="0" w:firstLine="0" w:firstLineChars="0"/>
              <w:jc w:val="left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lang w:val="en-US" w:eastAsia="zh-CN"/>
              </w:rPr>
              <w:t>（4）抗拉强度不小于160N/m㎡；规定非比例延伸强度不小于110N/m㎡；</w:t>
            </w:r>
          </w:p>
        </w:tc>
        <w:tc>
          <w:tcPr>
            <w:tcW w:w="64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0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eastAsia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 w:right="0" w:rightChars="0"/>
        <w:jc w:val="both"/>
        <w:textAlignment w:val="auto"/>
        <w:outlineLvl w:val="9"/>
        <w:rPr>
          <w:rFonts w:hint="eastAsia" w:ascii="宋体" w:hAnsi="宋体" w:cs="宋体"/>
          <w:b/>
          <w:color w:val="auto"/>
          <w:sz w:val="24"/>
          <w:szCs w:val="24"/>
        </w:rPr>
      </w:pPr>
      <w:r>
        <w:rPr>
          <w:rFonts w:hint="eastAsia" w:ascii="宋体" w:hAnsi="宋体" w:cs="宋体"/>
          <w:b/>
          <w:color w:val="auto"/>
          <w:sz w:val="24"/>
          <w:szCs w:val="24"/>
          <w:lang w:val="en-US" w:eastAsia="zh-CN"/>
        </w:rPr>
        <w:t>五</w:t>
      </w:r>
      <w:r>
        <w:rPr>
          <w:rFonts w:hint="eastAsia" w:ascii="宋体" w:hAnsi="宋体" w:cs="宋体"/>
          <w:b/>
          <w:color w:val="auto"/>
          <w:sz w:val="24"/>
          <w:szCs w:val="24"/>
        </w:rPr>
        <w:t>、采购注意事项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2" w:firstLineChars="200"/>
        <w:jc w:val="both"/>
        <w:textAlignment w:val="auto"/>
        <w:rPr>
          <w:rFonts w:ascii="宋体" w:hAnsi="宋体" w:cs="宋体"/>
          <w:bCs/>
          <w:color w:val="auto"/>
          <w:kern w:val="0"/>
          <w:sz w:val="24"/>
          <w:szCs w:val="24"/>
        </w:rPr>
      </w:pPr>
      <w:bookmarkStart w:id="0" w:name="_Toc14900"/>
      <w:bookmarkStart w:id="1" w:name="_Toc27034"/>
      <w:r>
        <w:rPr>
          <w:rFonts w:hint="eastAsia" w:ascii="宋体" w:hAnsi="宋体" w:cs="宋体"/>
          <w:b/>
          <w:color w:val="auto"/>
          <w:kern w:val="0"/>
          <w:sz w:val="24"/>
          <w:szCs w:val="24"/>
        </w:rPr>
        <w:t>1、实施要求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0" w:firstLineChars="200"/>
        <w:jc w:val="both"/>
        <w:textAlignment w:val="auto"/>
        <w:rPr>
          <w:rFonts w:hint="eastAsia"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中标方必须落实安全生产措施，且应按采购方以及有关部门的要求，配备相关安全警示标志及设施，自行解决安全作业问题。在进行施工作业时，现场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lang w:val="en-US" w:eastAsia="zh-CN"/>
        </w:rPr>
        <w:t>一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定要做好安全维护后牙能进场施水,同时中标方必须认真负责，并注意安全操作，如发生任何意外，中标方负责事故处理及包括但不限于赔偿费。诉讼费、律师费，差旅费等费用，概与采购人无关。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0" w:firstLineChars="200"/>
        <w:jc w:val="both"/>
        <w:textAlignment w:val="auto"/>
        <w:rPr>
          <w:rFonts w:hint="eastAsia"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因城市建设需要调整中标方施工范围时，中标方要服从大局相应调整服务范围，因此造成的经济损失水中标方应承担--切经济责任和法律责任。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2" w:firstLineChars="200"/>
        <w:jc w:val="both"/>
        <w:textAlignment w:val="auto"/>
        <w:rPr>
          <w:rFonts w:ascii="宋体" w:hAnsi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  <w:szCs w:val="24"/>
          <w:lang w:val="en-US" w:eastAsia="zh-CN"/>
        </w:rPr>
        <w:t>2、</w:t>
      </w:r>
      <w:r>
        <w:rPr>
          <w:rFonts w:hint="eastAsia" w:ascii="宋体" w:hAnsi="宋体" w:cs="宋体"/>
          <w:b/>
          <w:color w:val="auto"/>
          <w:kern w:val="0"/>
          <w:sz w:val="24"/>
          <w:szCs w:val="24"/>
        </w:rPr>
        <w:t>质量、服务要求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0" w:firstLineChars="200"/>
        <w:jc w:val="both"/>
        <w:textAlignment w:val="auto"/>
        <w:rPr>
          <w:rFonts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（1）报价人报价时所提供的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lang w:eastAsia="zh-CN"/>
        </w:rPr>
        <w:t>货物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如在实际供货时已经废型，则中标供应商必须用供货时该厂家的最新产品提供给用户单位，其性能指标不得低于所投设备，并且价格不变。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0" w:firstLineChars="200"/>
        <w:jc w:val="both"/>
        <w:textAlignment w:val="auto"/>
        <w:rPr>
          <w:rFonts w:ascii="宋体" w:hAnsi="宋体" w:cs="宋体"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  <w:highlight w:val="none"/>
        </w:rPr>
        <w:t>（2）</w:t>
      </w:r>
      <w:r>
        <w:rPr>
          <w:rFonts w:ascii="宋体" w:hAnsi="宋体" w:cs="宋体"/>
          <w:bCs/>
          <w:color w:val="auto"/>
          <w:kern w:val="0"/>
          <w:sz w:val="24"/>
          <w:szCs w:val="24"/>
          <w:highlight w:val="none"/>
        </w:rPr>
        <w:t>所投设备负责终身维修,保证有充足的部件和配件,如需更换部件或配件时, 将以不高于成本价为客户进行有偿收费服务。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2" w:firstLineChars="200"/>
        <w:jc w:val="both"/>
        <w:textAlignment w:val="auto"/>
        <w:rPr>
          <w:rFonts w:ascii="宋体" w:hAnsi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  <w:szCs w:val="24"/>
        </w:rPr>
        <w:t>3、其他要求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0" w:firstLineChars="200"/>
        <w:jc w:val="both"/>
        <w:textAlignment w:val="auto"/>
        <w:rPr>
          <w:rFonts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（1）中标人负责根据本项目内容各个不同的安装地点,将货物材料送到现场过程中的全部运输，包括装卸车、货物现场的搬运。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0" w:firstLineChars="200"/>
        <w:jc w:val="both"/>
        <w:textAlignment w:val="auto"/>
        <w:rPr>
          <w:rFonts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（2）各种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lang w:eastAsia="zh-CN"/>
        </w:rPr>
        <w:t>货物及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设备，必须提供装箱清单，按装箱清单验收货物。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0" w:firstLineChars="200"/>
        <w:jc w:val="both"/>
        <w:textAlignment w:val="auto"/>
        <w:rPr>
          <w:rFonts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（3）货物在现场的保管由中标人负责，直至项目安装、验收完毕。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0" w:firstLineChars="200"/>
        <w:jc w:val="both"/>
        <w:textAlignment w:val="auto"/>
        <w:rPr>
          <w:rFonts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（4）货物在安装调试验收合格前的保险由中标人负责，中标人负责其派出的现场服务人员人身意外保险。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 w:right="0" w:rightChars="0"/>
        <w:jc w:val="both"/>
        <w:textAlignment w:val="auto"/>
        <w:outlineLvl w:val="9"/>
        <w:rPr>
          <w:rFonts w:hint="eastAsia" w:ascii="宋体" w:hAnsi="宋体" w:cs="宋体"/>
          <w:b/>
          <w:color w:val="auto"/>
          <w:sz w:val="24"/>
          <w:szCs w:val="24"/>
        </w:rPr>
      </w:pPr>
      <w:r>
        <w:rPr>
          <w:rFonts w:hint="eastAsia" w:ascii="宋体" w:hAnsi="宋体" w:cs="宋体"/>
          <w:b/>
          <w:color w:val="auto"/>
          <w:sz w:val="24"/>
          <w:szCs w:val="24"/>
          <w:lang w:val="en-US" w:eastAsia="zh-CN"/>
        </w:rPr>
        <w:t>六</w:t>
      </w:r>
      <w:r>
        <w:rPr>
          <w:rFonts w:hint="eastAsia" w:ascii="宋体" w:hAnsi="宋体" w:cs="宋体"/>
          <w:b/>
          <w:color w:val="auto"/>
          <w:sz w:val="24"/>
          <w:szCs w:val="24"/>
        </w:rPr>
        <w:t>、商务需求（合同主要条款）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2" w:firstLineChars="200"/>
        <w:jc w:val="both"/>
        <w:textAlignment w:val="auto"/>
        <w:rPr>
          <w:rFonts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  <w:szCs w:val="24"/>
        </w:rPr>
        <w:t>1、供货要求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0" w:firstLineChars="200"/>
        <w:jc w:val="both"/>
        <w:textAlignment w:val="auto"/>
        <w:rPr>
          <w:rFonts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  <w:highlight w:val="none"/>
        </w:rPr>
        <w:t>时间：合同签订后</w:t>
      </w:r>
      <w:r>
        <w:rPr>
          <w:rFonts w:hint="eastAsia" w:ascii="宋体" w:hAnsi="宋体" w:cs="宋体"/>
          <w:b/>
          <w:bCs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>10个</w:t>
      </w:r>
      <w:r>
        <w:rPr>
          <w:rFonts w:hint="eastAsia" w:ascii="宋体" w:hAnsi="宋体" w:cs="宋体"/>
          <w:b/>
          <w:bCs w:val="0"/>
          <w:color w:val="auto"/>
          <w:kern w:val="0"/>
          <w:sz w:val="24"/>
          <w:szCs w:val="24"/>
          <w:highlight w:val="none"/>
          <w:u w:val="single"/>
        </w:rPr>
        <w:t>工作日内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highlight w:val="none"/>
        </w:rPr>
        <w:t>交货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highlight w:val="none"/>
          <w:lang w:eastAsia="zh-CN"/>
        </w:rPr>
        <w:t>至采购人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highlight w:val="none"/>
        </w:rPr>
        <w:t>指定地点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highlight w:val="none"/>
          <w:lang w:val="en-US" w:eastAsia="zh-CN"/>
        </w:rPr>
        <w:t>安装完毕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highlight w:val="none"/>
        </w:rPr>
        <w:t>；包装要求:所有设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备必须包装完好，必须原厂包装，不得拆封。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2" w:firstLineChars="200"/>
        <w:jc w:val="both"/>
        <w:textAlignment w:val="auto"/>
        <w:rPr>
          <w:rFonts w:ascii="宋体" w:hAnsi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  <w:szCs w:val="24"/>
        </w:rPr>
        <w:t>2、安装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0" w:firstLineChars="200"/>
        <w:jc w:val="both"/>
        <w:textAlignment w:val="auto"/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</w:rPr>
        <w:t>设备供货完成并</w:t>
      </w: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  <w:lang w:eastAsia="zh-CN"/>
        </w:rPr>
        <w:t>免费拆</w:t>
      </w: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</w:rPr>
        <w:t xml:space="preserve">装，必须能够正常使用，完成工艺流程。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2" w:firstLineChars="200"/>
        <w:jc w:val="both"/>
        <w:textAlignment w:val="auto"/>
        <w:rPr>
          <w:rFonts w:ascii="宋体" w:hAnsi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  <w:szCs w:val="24"/>
        </w:rPr>
        <w:t>3、检测验收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0" w:firstLineChars="200"/>
        <w:jc w:val="both"/>
        <w:textAlignment w:val="auto"/>
        <w:rPr>
          <w:rFonts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（1）投标人安装调试合格后，经过双方检验认可，签署验收报告，产品保修期自验收合格之日起算，由投标人提供产品保修文件。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0" w:firstLineChars="200"/>
        <w:jc w:val="both"/>
        <w:textAlignment w:val="auto"/>
        <w:rPr>
          <w:rFonts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（2）当满足以下条件时，采购单位才向中标人签发货物验收报告：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0" w:firstLineChars="200"/>
        <w:jc w:val="both"/>
        <w:textAlignment w:val="auto"/>
        <w:rPr>
          <w:rFonts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1）中标人已按照合同规定提供了全部产品及完整的技术资料。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0" w:firstLineChars="200"/>
        <w:jc w:val="both"/>
        <w:textAlignment w:val="auto"/>
        <w:rPr>
          <w:rFonts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2）货物符合招标文件技术规格书的要求，性能满足要求。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0" w:firstLineChars="200"/>
        <w:jc w:val="both"/>
        <w:textAlignment w:val="auto"/>
        <w:rPr>
          <w:rFonts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 xml:space="preserve">3）货物具备产品合格证。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 w:right="0" w:rightChars="0"/>
        <w:jc w:val="both"/>
        <w:textAlignment w:val="auto"/>
        <w:outlineLvl w:val="9"/>
        <w:rPr>
          <w:rFonts w:hint="eastAsia" w:ascii="宋体" w:hAnsi="宋体" w:cs="宋体"/>
          <w:b/>
          <w:color w:val="auto"/>
          <w:sz w:val="24"/>
          <w:szCs w:val="24"/>
        </w:rPr>
      </w:pPr>
      <w:r>
        <w:rPr>
          <w:rFonts w:hint="eastAsia" w:ascii="宋体" w:hAnsi="宋体" w:cs="宋体"/>
          <w:b/>
          <w:color w:val="auto"/>
          <w:sz w:val="24"/>
          <w:szCs w:val="24"/>
          <w:lang w:val="en-US" w:eastAsia="zh-CN"/>
        </w:rPr>
        <w:t>七</w:t>
      </w:r>
      <w:r>
        <w:rPr>
          <w:rFonts w:hint="eastAsia" w:ascii="宋体" w:hAnsi="宋体" w:cs="宋体"/>
          <w:b/>
          <w:color w:val="auto"/>
          <w:sz w:val="24"/>
          <w:szCs w:val="24"/>
        </w:rPr>
        <w:t>、售后服务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2" w:firstLineChars="200"/>
        <w:jc w:val="both"/>
        <w:textAlignment w:val="auto"/>
        <w:rPr>
          <w:rFonts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auto"/>
          <w:kern w:val="0"/>
          <w:sz w:val="24"/>
          <w:szCs w:val="24"/>
        </w:rPr>
        <w:t>故障响应</w:t>
      </w:r>
      <w:r>
        <w:rPr>
          <w:rFonts w:hint="eastAsia" w:ascii="宋体" w:hAnsi="宋体" w:cs="宋体"/>
          <w:b/>
          <w:color w:val="auto"/>
          <w:kern w:val="0"/>
          <w:sz w:val="24"/>
          <w:szCs w:val="24"/>
          <w:lang w:eastAsia="zh-CN"/>
        </w:rPr>
        <w:t>：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对采购单位的服务通知，供应商在接报后2小时内响应，4小时内到达现场，12小时内处理完毕。若在24小时内仍未能有效解决，供应商须免费提供同档次的设备予采购单位临时使用。</w:t>
      </w:r>
      <w:r>
        <w:rPr>
          <w:rFonts w:hint="eastAsia" w:ascii="宋体" w:hAnsi="宋体" w:cs="宋体"/>
          <w:b/>
          <w:color w:val="auto"/>
          <w:kern w:val="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 w:right="0" w:rightChars="0"/>
        <w:jc w:val="both"/>
        <w:textAlignment w:val="auto"/>
        <w:outlineLvl w:val="9"/>
        <w:rPr>
          <w:rFonts w:hint="eastAsia" w:ascii="宋体" w:hAnsi="宋体" w:cs="宋体"/>
          <w:b/>
          <w:color w:val="auto"/>
          <w:sz w:val="24"/>
          <w:szCs w:val="24"/>
        </w:rPr>
      </w:pPr>
      <w:bookmarkStart w:id="2" w:name="_Toc50823740"/>
      <w:r>
        <w:rPr>
          <w:rFonts w:hint="eastAsia" w:ascii="宋体" w:hAnsi="宋体" w:cs="宋体"/>
          <w:b/>
          <w:color w:val="auto"/>
          <w:sz w:val="24"/>
          <w:szCs w:val="24"/>
          <w:lang w:val="en-US" w:eastAsia="zh-CN"/>
        </w:rPr>
        <w:t>八</w:t>
      </w:r>
      <w:r>
        <w:rPr>
          <w:rFonts w:hint="eastAsia" w:ascii="宋体" w:hAnsi="宋体" w:cs="宋体"/>
          <w:b/>
          <w:color w:val="auto"/>
          <w:sz w:val="24"/>
          <w:szCs w:val="24"/>
        </w:rPr>
        <w:t>、报价应包含的内容</w:t>
      </w:r>
      <w:bookmarkEnd w:id="0"/>
      <w:bookmarkEnd w:id="1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0" w:firstLineChars="200"/>
        <w:jc w:val="both"/>
        <w:textAlignment w:val="auto"/>
        <w:rPr>
          <w:rFonts w:hint="eastAsia" w:ascii="宋体" w:hAnsi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供应商的报价为完成本项目所有费用的总价，包括但不限于以下内容：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0" w:firstLineChars="200"/>
        <w:jc w:val="both"/>
        <w:textAlignment w:val="auto"/>
        <w:rPr>
          <w:rFonts w:hint="eastAsia" w:ascii="宋体" w:hAnsi="宋体" w:eastAsia="宋体" w:cs="宋体"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auto"/>
          <w:kern w:val="0"/>
          <w:sz w:val="24"/>
          <w:szCs w:val="24"/>
          <w:lang w:val="en-US" w:eastAsia="zh-CN"/>
        </w:rPr>
        <w:t>1.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</w:rPr>
        <w:t>供应商应综合考虑各种因素再报价，供应商的报价应包含完成本项目工程所有的费用，如人工费、材料（设备）费用、机械费、管理费、利润、风险费、税费、代理服务费、运输费（多次供货）、上下车费、损耗费、保险费、检测费、售后质保费用等</w:t>
      </w: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</w:rPr>
        <w:t>预计发生或可能发生的所有费用，一旦确定不得更改；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</w:rPr>
        <w:t>其他费用，由供应商综合考虑。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 w:right="0" w:rightChars="0"/>
        <w:jc w:val="both"/>
        <w:textAlignment w:val="auto"/>
        <w:outlineLvl w:val="9"/>
        <w:rPr>
          <w:rFonts w:hint="eastAsia" w:ascii="宋体" w:hAnsi="宋体" w:cs="宋体"/>
          <w:b/>
          <w:color w:val="auto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color w:val="auto"/>
          <w:sz w:val="24"/>
          <w:szCs w:val="24"/>
          <w:lang w:val="en-US" w:eastAsia="zh-CN"/>
        </w:rPr>
        <w:t>九</w:t>
      </w:r>
      <w:r>
        <w:rPr>
          <w:rFonts w:hint="eastAsia" w:ascii="宋体" w:hAnsi="宋体" w:cs="宋体"/>
          <w:b/>
          <w:color w:val="auto"/>
          <w:sz w:val="24"/>
          <w:szCs w:val="24"/>
          <w:lang w:eastAsia="zh-CN"/>
        </w:rPr>
        <w:t>、付款条件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0" w:firstLine="482" w:firstLineChars="200"/>
        <w:jc w:val="both"/>
        <w:textAlignment w:val="auto"/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u w:val="single"/>
        </w:rPr>
        <w:t>货物供货完毕，且验收合格后，无质量问题后付至合同总价款的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u w:val="single"/>
          <w:lang w:val="en-US" w:eastAsia="zh-CN"/>
        </w:rPr>
        <w:t>95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u w:val="single"/>
        </w:rPr>
        <w:t>%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u w:val="single"/>
          <w:lang w:eastAsia="zh-CN"/>
        </w:rPr>
        <w:t>，余款一年质保期结束后无质量问题一次性无息付清。</w:t>
      </w:r>
    </w:p>
    <w:p/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附效果图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31765" cy="3260090"/>
            <wp:effectExtent l="0" t="0" r="6985" b="16510"/>
            <wp:docPr id="1043" name="图片 1" descr="bcc474922175a52e000066a2aa7dd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图片 1" descr="bcc474922175a52e000066a2aa7dd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3260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iZGE3YWRlNmQxMDFjOWE4ZGNlZWZiMWU4Mzc4N2MifQ=="/>
  </w:docVars>
  <w:rsids>
    <w:rsidRoot w:val="00000000"/>
    <w:rsid w:val="13602973"/>
    <w:rsid w:val="19CE5E87"/>
    <w:rsid w:val="46A41C10"/>
    <w:rsid w:val="498E6432"/>
    <w:rsid w:val="58F15E06"/>
    <w:rsid w:val="6803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28"/>
      <w:szCs w:val="32"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left="420"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Arial" w:hAnsi="Arial" w:eastAsia="仿宋_GB2312"/>
      <w:sz w:val="28"/>
      <w:szCs w:val="20"/>
    </w:rPr>
  </w:style>
  <w:style w:type="paragraph" w:styleId="4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标题2"/>
    <w:qFormat/>
    <w:uiPriority w:val="0"/>
    <w:pPr>
      <w:widowControl w:val="0"/>
      <w:spacing w:before="240" w:beforeLines="100" w:after="240" w:afterLines="100"/>
      <w:jc w:val="center"/>
      <w:outlineLvl w:val="1"/>
    </w:pPr>
    <w:rPr>
      <w:rFonts w:ascii="黑体" w:hAnsi="黑体" w:eastAsia="黑体" w:cs="Times New Roman"/>
      <w:color w:val="000000"/>
      <w:kern w:val="2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1695</Words>
  <Characters>1875</Characters>
  <Paragraphs>81</Paragraphs>
  <TotalTime>16</TotalTime>
  <ScaleCrop>false</ScaleCrop>
  <LinksUpToDate>false</LinksUpToDate>
  <CharactersWithSpaces>1887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2022-07-24T08:45:00Z</dcterms:created>
  <dc:creator>Administrator</dc:creator>
  <cp:lastModifiedBy>文</cp:lastModifiedBy>
  <cp:lastPrinted>2022-09-02T07:32:06Z</cp:lastPrinted>
  <dcterms:modified xsi:type="dcterms:W3CDTF">2022-09-02T07:47:20Z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686C5769ED5D43E49CEBED568E1922E8</vt:lpwstr>
  </property>
</Properties>
</file>